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1E1F1" w14:textId="52AB861A" w:rsidR="002B3BF9" w:rsidRPr="006C5CA5" w:rsidRDefault="00FA7C7D" w:rsidP="000655D5">
      <w:pPr>
        <w:pStyle w:val="berschrift1"/>
        <w:tabs>
          <w:tab w:val="left" w:pos="1985"/>
        </w:tabs>
        <w:spacing w:before="69"/>
        <w:ind w:left="1006" w:right="1068" w:firstLine="0"/>
        <w:jc w:val="center"/>
        <w:rPr>
          <w:spacing w:val="20"/>
        </w:rPr>
      </w:pPr>
      <w:r>
        <w:rPr>
          <w:spacing w:val="20"/>
        </w:rPr>
        <w:t>Muster</w:t>
      </w:r>
      <w:r w:rsidR="00365B94">
        <w:rPr>
          <w:spacing w:val="20"/>
        </w:rPr>
        <w:t xml:space="preserve"> einer </w:t>
      </w:r>
      <w:r w:rsidR="00F535B5" w:rsidRPr="006C5CA5">
        <w:rPr>
          <w:spacing w:val="20"/>
        </w:rPr>
        <w:t>Förderrichtlinie</w:t>
      </w:r>
    </w:p>
    <w:p w14:paraId="38F5C09B" w14:textId="77777777" w:rsidR="002B3BF9" w:rsidRPr="006C5CA5" w:rsidRDefault="002B3BF9" w:rsidP="000655D5">
      <w:pPr>
        <w:pStyle w:val="Textbody"/>
        <w:tabs>
          <w:tab w:val="left" w:pos="1985"/>
        </w:tabs>
        <w:spacing w:before="9"/>
        <w:jc w:val="center"/>
        <w:rPr>
          <w:b/>
        </w:rPr>
      </w:pPr>
    </w:p>
    <w:p w14:paraId="36642F4F" w14:textId="44DB5B21" w:rsidR="002B3BF9" w:rsidRPr="006C5CA5" w:rsidRDefault="00F535B5" w:rsidP="000655D5">
      <w:pPr>
        <w:tabs>
          <w:tab w:val="left" w:pos="1985"/>
        </w:tabs>
        <w:ind w:left="1068" w:right="1068"/>
        <w:jc w:val="center"/>
      </w:pPr>
      <w:r w:rsidRPr="006C5CA5">
        <w:rPr>
          <w:b/>
        </w:rPr>
        <w:t xml:space="preserve">zu </w:t>
      </w:r>
      <w:r w:rsidR="00A94A7D" w:rsidRPr="006C5CA5">
        <w:rPr>
          <w:b/>
        </w:rPr>
        <w:t>kreis</w:t>
      </w:r>
      <w:r w:rsidRPr="006C5CA5">
        <w:rPr>
          <w:b/>
        </w:rPr>
        <w:t>kirchlichen Zuschüssen</w:t>
      </w:r>
      <w:r w:rsidR="00E37F44" w:rsidRPr="006C5CA5">
        <w:rPr>
          <w:b/>
        </w:rPr>
        <w:t xml:space="preserve"> </w:t>
      </w:r>
      <w:r w:rsidR="00A94A7D" w:rsidRPr="006C5CA5">
        <w:rPr>
          <w:b/>
        </w:rPr>
        <w:t>aus dem Klimaschutzf</w:t>
      </w:r>
      <w:r w:rsidRPr="006C5CA5">
        <w:rPr>
          <w:b/>
        </w:rPr>
        <w:t xml:space="preserve">onds </w:t>
      </w:r>
      <w:r w:rsidR="00E37F44" w:rsidRPr="006C5CA5">
        <w:rPr>
          <w:b/>
        </w:rPr>
        <w:t>des Kirchenkreises</w:t>
      </w:r>
      <w:r w:rsidR="005661A4">
        <w:rPr>
          <w:b/>
        </w:rPr>
        <w:t xml:space="preserve"> </w:t>
      </w:r>
      <w:r w:rsidR="005661A4" w:rsidRPr="005661A4">
        <w:rPr>
          <w:b/>
          <w:i/>
        </w:rPr>
        <w:t>[Name</w:t>
      </w:r>
      <w:r w:rsidR="005661A4">
        <w:rPr>
          <w:b/>
          <w:i/>
        </w:rPr>
        <w:t xml:space="preserve"> des KK</w:t>
      </w:r>
      <w:r w:rsidR="005661A4" w:rsidRPr="005661A4">
        <w:rPr>
          <w:b/>
          <w:i/>
        </w:rPr>
        <w:t>]</w:t>
      </w:r>
      <w:r w:rsidR="00E37F44" w:rsidRPr="006C5CA5">
        <w:rPr>
          <w:b/>
        </w:rPr>
        <w:t xml:space="preserve"> zur Vermeidung von Treibhausgasemissionen aus dem Bereich kirchlicher Gebäude </w:t>
      </w:r>
      <w:r w:rsidR="00A94A7D" w:rsidRPr="006C5CA5">
        <w:rPr>
          <w:b/>
        </w:rPr>
        <w:t>nach §</w:t>
      </w:r>
      <w:r w:rsidR="00BD4D23">
        <w:rPr>
          <w:b/>
        </w:rPr>
        <w:t> </w:t>
      </w:r>
      <w:r w:rsidR="00A94A7D" w:rsidRPr="006C5CA5">
        <w:rPr>
          <w:b/>
        </w:rPr>
        <w:t>5 Absatz</w:t>
      </w:r>
      <w:r w:rsidR="00BD4D23">
        <w:rPr>
          <w:b/>
        </w:rPr>
        <w:t> </w:t>
      </w:r>
      <w:r w:rsidR="00A94A7D" w:rsidRPr="006C5CA5">
        <w:rPr>
          <w:b/>
        </w:rPr>
        <w:t>1</w:t>
      </w:r>
      <w:r w:rsidR="00FA7C7D">
        <w:rPr>
          <w:b/>
        </w:rPr>
        <w:t xml:space="preserve"> Klimaschutzgesetz (</w:t>
      </w:r>
      <w:r w:rsidR="00FA7C7D" w:rsidRPr="006C5CA5">
        <w:rPr>
          <w:b/>
        </w:rPr>
        <w:t>KlSchG</w:t>
      </w:r>
      <w:r w:rsidR="00FA7C7D">
        <w:rPr>
          <w:b/>
        </w:rPr>
        <w:t>)</w:t>
      </w:r>
    </w:p>
    <w:p w14:paraId="3C77C663" w14:textId="77777777" w:rsidR="002B3BF9" w:rsidRPr="00D5014F" w:rsidRDefault="002B3BF9" w:rsidP="000655D5">
      <w:pPr>
        <w:pStyle w:val="Textbody"/>
        <w:tabs>
          <w:tab w:val="left" w:pos="1985"/>
        </w:tabs>
        <w:spacing w:before="5"/>
        <w:jc w:val="both"/>
      </w:pPr>
    </w:p>
    <w:p w14:paraId="2FA3AE12" w14:textId="79DEA353" w:rsidR="002B3BF9" w:rsidRPr="006C5CA5" w:rsidRDefault="00A94A7D" w:rsidP="000655D5">
      <w:pPr>
        <w:pStyle w:val="Textbody"/>
        <w:tabs>
          <w:tab w:val="left" w:pos="1985"/>
        </w:tabs>
        <w:spacing w:before="1"/>
        <w:ind w:right="111"/>
        <w:jc w:val="both"/>
      </w:pPr>
      <w:r w:rsidRPr="006C5CA5">
        <w:t>Nach §</w:t>
      </w:r>
      <w:r w:rsidR="005661A4">
        <w:t> </w:t>
      </w:r>
      <w:r w:rsidRPr="006C5CA5">
        <w:t>5 Absatz</w:t>
      </w:r>
      <w:r w:rsidR="005661A4">
        <w:t> </w:t>
      </w:r>
      <w:r w:rsidRPr="006C5CA5">
        <w:t xml:space="preserve">1 </w:t>
      </w:r>
      <w:r w:rsidR="00FA7C7D" w:rsidRPr="006C5CA5">
        <w:t>KlSchG</w:t>
      </w:r>
      <w:r w:rsidR="00FA7C7D">
        <w:t xml:space="preserve"> </w:t>
      </w:r>
      <w:r w:rsidR="00365B94">
        <w:t>(</w:t>
      </w:r>
      <w:hyperlink r:id="rId8" w:history="1">
        <w:r w:rsidR="00365B94" w:rsidRPr="00EF50B6">
          <w:rPr>
            <w:rStyle w:val="Hyperlink"/>
          </w:rPr>
          <w:t>https://kirchenrecht-ekbo.de/document/47172</w:t>
        </w:r>
      </w:hyperlink>
      <w:r w:rsidR="00365B94">
        <w:t xml:space="preserve">) </w:t>
      </w:r>
      <w:r w:rsidRPr="006C5CA5">
        <w:t>werden ab dem 1. Januar 2023 kreiskirchliche Klimaschutzfonds gebildet. Jede durch kirchliche Stellen des Kirchenkreises sowie der zugehörigen Kirchengemeinden im vorangegangenen Kalenderjahr emittierte, nach §</w:t>
      </w:r>
      <w:r w:rsidR="00BD4D23">
        <w:t> </w:t>
      </w:r>
      <w:bookmarkStart w:id="0" w:name="_GoBack"/>
      <w:bookmarkEnd w:id="0"/>
      <w:r w:rsidRPr="006C5CA5">
        <w:t xml:space="preserve">3 </w:t>
      </w:r>
      <w:r w:rsidR="00FA7C7D" w:rsidRPr="00FA7C7D">
        <w:t xml:space="preserve">KlSchG </w:t>
      </w:r>
      <w:r w:rsidRPr="006C5CA5">
        <w:t xml:space="preserve">ermittelte gebäudebezogene Tonne </w:t>
      </w:r>
      <w:r w:rsidRPr="006C5CA5">
        <w:rPr>
          <w:szCs w:val="24"/>
        </w:rPr>
        <w:t>CO</w:t>
      </w:r>
      <w:r w:rsidRPr="006C5CA5">
        <w:rPr>
          <w:szCs w:val="24"/>
          <w:vertAlign w:val="subscript"/>
        </w:rPr>
        <w:t>2e</w:t>
      </w:r>
      <w:r w:rsidRPr="006C5CA5">
        <w:t xml:space="preserve"> wird bepreist (Klimaschutzabgabe). Die kreiskirchliche Zuführung für alle kirchlichen Stellen im Kirchenkreis beträgt 125</w:t>
      </w:r>
      <w:r w:rsidR="005661A4">
        <w:t> </w:t>
      </w:r>
      <w:r w:rsidRPr="006C5CA5">
        <w:t xml:space="preserve">€ pro Tonne </w:t>
      </w:r>
      <w:r w:rsidRPr="006C5CA5">
        <w:rPr>
          <w:szCs w:val="24"/>
        </w:rPr>
        <w:t>CO</w:t>
      </w:r>
      <w:r w:rsidRPr="006C5CA5">
        <w:rPr>
          <w:szCs w:val="24"/>
          <w:vertAlign w:val="subscript"/>
        </w:rPr>
        <w:t>2e</w:t>
      </w:r>
      <w:r w:rsidRPr="006C5CA5">
        <w:t xml:space="preserve">. </w:t>
      </w:r>
      <w:r w:rsidR="00F535B5" w:rsidRPr="006C5CA5">
        <w:t>Aus diesen Mitteln sollen Maßnahmen der Kirchengemeinden und Kirchenkreise gefördert werden, die die CO</w:t>
      </w:r>
      <w:r w:rsidR="00F535B5" w:rsidRPr="006C5CA5">
        <w:rPr>
          <w:vertAlign w:val="subscript"/>
        </w:rPr>
        <w:t>2e</w:t>
      </w:r>
      <w:r w:rsidR="00F535B5" w:rsidRPr="006C5CA5">
        <w:t>-Emissionen im Bereich kirchlicher Gebäude deutlich senken</w:t>
      </w:r>
      <w:r w:rsidR="004955A9">
        <w:t xml:space="preserve"> (</w:t>
      </w:r>
      <w:r w:rsidR="00365B94">
        <w:t>siehe Treibhausgasv</w:t>
      </w:r>
      <w:r w:rsidR="004955A9">
        <w:t>ermeidungskosten</w:t>
      </w:r>
      <w:r w:rsidR="00415D30">
        <w:rPr>
          <w:rStyle w:val="Funotenzeichen"/>
        </w:rPr>
        <w:footnoteReference w:id="1"/>
      </w:r>
      <w:r w:rsidR="004955A9">
        <w:t xml:space="preserve"> </w:t>
      </w:r>
      <w:r w:rsidR="00365B94">
        <w:t>unter 4.2</w:t>
      </w:r>
      <w:r w:rsidR="004955A9">
        <w:t>)</w:t>
      </w:r>
      <w:r w:rsidR="00F535B5" w:rsidRPr="006C5CA5">
        <w:t xml:space="preserve">. </w:t>
      </w:r>
      <w:r w:rsidRPr="006C5CA5">
        <w:t>Die Höhe der Förderung wird von</w:t>
      </w:r>
      <w:r w:rsidR="00635FC7">
        <w:t xml:space="preserve"> dem oder den Kirchenkreis(en)</w:t>
      </w:r>
      <w:r w:rsidRPr="006C5CA5">
        <w:t xml:space="preserve"> </w:t>
      </w:r>
      <w:r w:rsidR="00286490">
        <w:t xml:space="preserve">festgelegt. </w:t>
      </w:r>
      <w:r w:rsidRPr="006C5CA5">
        <w:t xml:space="preserve">Die Förderung soll die Bau- und Planungsmehrkosten auf Grund des Einsatzes </w:t>
      </w:r>
      <w:r w:rsidR="00D777A0" w:rsidRPr="006C5CA5">
        <w:t>klimafreundlicher</w:t>
      </w:r>
      <w:r w:rsidRPr="006C5CA5">
        <w:t xml:space="preserve"> Technologie</w:t>
      </w:r>
      <w:r w:rsidR="00D777A0" w:rsidRPr="006C5CA5">
        <w:t>n</w:t>
      </w:r>
      <w:r w:rsidRPr="006C5CA5">
        <w:t xml:space="preserve"> oder Bauweise</w:t>
      </w:r>
      <w:r w:rsidR="00D777A0" w:rsidRPr="006C5CA5">
        <w:t>n</w:t>
      </w:r>
      <w:r w:rsidRPr="006C5CA5">
        <w:t xml:space="preserve"> gegenüber zulässigen, baufachlich sinnvollen, konventionellen Technologie</w:t>
      </w:r>
      <w:r w:rsidR="00D777A0" w:rsidRPr="006C5CA5">
        <w:t>n</w:t>
      </w:r>
      <w:r w:rsidRPr="006C5CA5">
        <w:t xml:space="preserve"> abdecken und kann bis zu 100</w:t>
      </w:r>
      <w:r w:rsidR="005661A4">
        <w:t> </w:t>
      </w:r>
      <w:r w:rsidRPr="006C5CA5">
        <w:t xml:space="preserve">% dieser Mehrkosten betragen. </w:t>
      </w:r>
      <w:r w:rsidR="00A731B9" w:rsidRPr="006C5CA5">
        <w:t>Ziel ist es</w:t>
      </w:r>
      <w:r w:rsidR="005661A4">
        <w:t>,</w:t>
      </w:r>
      <w:r w:rsidR="00A731B9" w:rsidRPr="006C5CA5">
        <w:t xml:space="preserve"> den Gebäudebestand </w:t>
      </w:r>
      <w:r w:rsidRPr="006C5CA5">
        <w:t>bis 2045 treibhausgasneutral zu gestalten.</w:t>
      </w:r>
    </w:p>
    <w:p w14:paraId="3559C500" w14:textId="77777777" w:rsidR="002B3BF9" w:rsidRPr="006C5CA5" w:rsidRDefault="00F535B5" w:rsidP="000655D5">
      <w:pPr>
        <w:pStyle w:val="berschrift1"/>
        <w:numPr>
          <w:ilvl w:val="0"/>
          <w:numId w:val="20"/>
        </w:numPr>
        <w:tabs>
          <w:tab w:val="clear" w:pos="0"/>
        </w:tabs>
        <w:spacing w:before="205"/>
        <w:jc w:val="both"/>
      </w:pPr>
      <w:r w:rsidRPr="006C5CA5">
        <w:t>Gegenstand der</w:t>
      </w:r>
      <w:r w:rsidRPr="006C5CA5">
        <w:rPr>
          <w:spacing w:val="-4"/>
        </w:rPr>
        <w:t xml:space="preserve"> </w:t>
      </w:r>
      <w:r w:rsidRPr="006C5CA5">
        <w:t>Förderung</w:t>
      </w:r>
    </w:p>
    <w:p w14:paraId="4FE77062" w14:textId="77777777" w:rsidR="002B3BF9" w:rsidRPr="00D5014F" w:rsidRDefault="002B3BF9" w:rsidP="000655D5">
      <w:pPr>
        <w:pStyle w:val="Textbody"/>
        <w:tabs>
          <w:tab w:val="left" w:pos="1985"/>
        </w:tabs>
        <w:spacing w:before="1"/>
        <w:jc w:val="both"/>
      </w:pPr>
    </w:p>
    <w:p w14:paraId="06640002" w14:textId="474D3FE4" w:rsidR="008560B8" w:rsidRPr="006C5CA5" w:rsidRDefault="00F535B5" w:rsidP="000655D5">
      <w:pPr>
        <w:pStyle w:val="Textbody"/>
        <w:tabs>
          <w:tab w:val="left" w:pos="1985"/>
        </w:tabs>
        <w:jc w:val="both"/>
      </w:pPr>
      <w:r w:rsidRPr="006C5CA5">
        <w:t xml:space="preserve">Zuschüsse können </w:t>
      </w:r>
      <w:r w:rsidR="00C51996" w:rsidRPr="006C5CA5">
        <w:t xml:space="preserve">zur Umsetzung von Maßnahmen zu klimafreundlicher Heiztechnologie und energetischer Gebäudesanierung </w:t>
      </w:r>
      <w:r w:rsidRPr="006C5CA5">
        <w:t>gewährt werden</w:t>
      </w:r>
      <w:r w:rsidR="00A94A7D" w:rsidRPr="006C5CA5">
        <w:t xml:space="preserve"> sowie für </w:t>
      </w:r>
      <w:r w:rsidR="00635FC7">
        <w:t>dafür i</w:t>
      </w:r>
      <w:r w:rsidR="00B04F61">
        <w:t>n</w:t>
      </w:r>
      <w:r w:rsidR="00635FC7">
        <w:t xml:space="preserve"> Zusammenhang stehende </w:t>
      </w:r>
      <w:r w:rsidR="00A94A7D" w:rsidRPr="006C5CA5">
        <w:t>Fachplanungen</w:t>
      </w:r>
      <w:r w:rsidR="008560B8" w:rsidRPr="006C5CA5">
        <w:t>.</w:t>
      </w:r>
    </w:p>
    <w:p w14:paraId="6D3A02DF" w14:textId="77777777" w:rsidR="002B3BF9" w:rsidRPr="006C5CA5" w:rsidRDefault="00F535B5" w:rsidP="000655D5">
      <w:pPr>
        <w:pStyle w:val="berschrift1"/>
        <w:numPr>
          <w:ilvl w:val="0"/>
          <w:numId w:val="20"/>
        </w:numPr>
        <w:tabs>
          <w:tab w:val="clear" w:pos="0"/>
        </w:tabs>
        <w:spacing w:before="205"/>
        <w:jc w:val="both"/>
      </w:pPr>
      <w:r w:rsidRPr="006C5CA5">
        <w:t>Zuständigkeit und Verfahrensablauf</w:t>
      </w:r>
    </w:p>
    <w:p w14:paraId="658D1DB8" w14:textId="77777777" w:rsidR="002B3BF9" w:rsidRPr="00D5014F" w:rsidRDefault="002B3BF9" w:rsidP="000655D5">
      <w:pPr>
        <w:pStyle w:val="Textbody"/>
        <w:tabs>
          <w:tab w:val="left" w:pos="1985"/>
        </w:tabs>
        <w:spacing w:before="3"/>
        <w:jc w:val="both"/>
      </w:pPr>
    </w:p>
    <w:p w14:paraId="71BA0DA8" w14:textId="135AB26D" w:rsidR="002B3BF9" w:rsidRPr="006C5CA5" w:rsidRDefault="00F535B5" w:rsidP="000655D5">
      <w:pPr>
        <w:pStyle w:val="Textbody"/>
        <w:tabs>
          <w:tab w:val="left" w:pos="1985"/>
        </w:tabs>
        <w:spacing w:line="252" w:lineRule="exact"/>
        <w:jc w:val="both"/>
      </w:pPr>
      <w:r w:rsidRPr="006C5CA5">
        <w:t>Die Zuständigkeit für die Zuschussvergabe liegt bei</w:t>
      </w:r>
      <w:r w:rsidR="00635FC7">
        <w:t xml:space="preserve"> dem oder den Kirchenkreis(en). </w:t>
      </w:r>
      <w:r w:rsidR="00761B17" w:rsidRPr="001A5551">
        <w:rPr>
          <w:i/>
        </w:rPr>
        <w:t>[</w:t>
      </w:r>
      <w:r w:rsidR="00415D30" w:rsidRPr="001A5551">
        <w:rPr>
          <w:i/>
        </w:rPr>
        <w:t>Hier kann ein Passus zur kirchenkreisspezifischen Regelung des konkreten Verfahrens zur Vergabe eingefügt werden</w:t>
      </w:r>
      <w:r w:rsidR="00761B17" w:rsidRPr="00526BBB">
        <w:rPr>
          <w:i/>
        </w:rPr>
        <w:t>]</w:t>
      </w:r>
      <w:r w:rsidRPr="00526BBB">
        <w:rPr>
          <w:i/>
        </w:rPr>
        <w:t>.</w:t>
      </w:r>
    </w:p>
    <w:p w14:paraId="548440D3" w14:textId="11D2CFAC" w:rsidR="008560B8" w:rsidRPr="006C5CA5" w:rsidRDefault="001A5551" w:rsidP="00237E06">
      <w:pPr>
        <w:pStyle w:val="Textbody"/>
        <w:tabs>
          <w:tab w:val="left" w:pos="1985"/>
        </w:tabs>
        <w:spacing w:line="252" w:lineRule="exact"/>
        <w:jc w:val="both"/>
      </w:pPr>
      <w:r w:rsidRPr="00FF5B06">
        <w:rPr>
          <w:i/>
        </w:rPr>
        <w:t>[zuständige Stelle des Kirchenkreises eintragen]</w:t>
      </w:r>
      <w:r>
        <w:rPr>
          <w:i/>
        </w:rPr>
        <w:t xml:space="preserve"> </w:t>
      </w:r>
      <w:proofErr w:type="gramStart"/>
      <w:r w:rsidR="00F147F2">
        <w:t>n</w:t>
      </w:r>
      <w:r w:rsidR="00F535B5" w:rsidRPr="006C5CA5">
        <w:t>immt</w:t>
      </w:r>
      <w:proofErr w:type="gramEnd"/>
      <w:r w:rsidR="00F535B5" w:rsidRPr="006C5CA5">
        <w:t xml:space="preserve"> die schriftlichen Anträge entgegen</w:t>
      </w:r>
      <w:r w:rsidR="00415D30">
        <w:t>. Eine Prüfung kann</w:t>
      </w:r>
      <w:r w:rsidR="008560B8" w:rsidRPr="006C5CA5">
        <w:t xml:space="preserve"> </w:t>
      </w:r>
      <w:r w:rsidR="00415D30">
        <w:t xml:space="preserve">intern </w:t>
      </w:r>
      <w:r w:rsidR="00F535B5" w:rsidRPr="006C5CA5">
        <w:t xml:space="preserve">unter Hinzuziehung </w:t>
      </w:r>
      <w:r w:rsidR="008560B8" w:rsidRPr="006C5CA5">
        <w:t>S</w:t>
      </w:r>
      <w:r w:rsidR="00F535B5" w:rsidRPr="006C5CA5">
        <w:t>achverständige</w:t>
      </w:r>
      <w:r w:rsidR="008560B8" w:rsidRPr="006C5CA5">
        <w:t>r</w:t>
      </w:r>
      <w:r w:rsidR="00761B17">
        <w:t xml:space="preserve"> (Klimakümmerer</w:t>
      </w:r>
      <w:r w:rsidR="00415D30">
        <w:t>:</w:t>
      </w:r>
      <w:r w:rsidR="00761B17">
        <w:t>in, Baubetreuer</w:t>
      </w:r>
      <w:r w:rsidR="00415D30">
        <w:t>:</w:t>
      </w:r>
      <w:r w:rsidR="00761B17">
        <w:t>in, Fachplaner</w:t>
      </w:r>
      <w:r w:rsidR="00415D30">
        <w:t>:</w:t>
      </w:r>
      <w:r w:rsidR="00761B17">
        <w:t>in)</w:t>
      </w:r>
      <w:r w:rsidR="00415D30">
        <w:t xml:space="preserve"> erfolgen und / oder extern beauftragt werden</w:t>
      </w:r>
      <w:r w:rsidR="008560B8" w:rsidRPr="006C5CA5">
        <w:t>.</w:t>
      </w:r>
    </w:p>
    <w:p w14:paraId="2966C0A5" w14:textId="0A0AB9D4" w:rsidR="002B3BF9" w:rsidRPr="006C5CA5" w:rsidRDefault="001A5551" w:rsidP="00237E06">
      <w:pPr>
        <w:pStyle w:val="Textbody"/>
        <w:tabs>
          <w:tab w:val="left" w:pos="1985"/>
        </w:tabs>
        <w:spacing w:line="252" w:lineRule="exact"/>
        <w:jc w:val="both"/>
      </w:pPr>
      <w:r w:rsidRPr="00FF5B06">
        <w:rPr>
          <w:i/>
        </w:rPr>
        <w:t>[zuständige Stelle des Kirchenkreises eintragen]</w:t>
      </w:r>
      <w:r w:rsidR="00237E06" w:rsidRPr="00237E06">
        <w:t xml:space="preserve"> </w:t>
      </w:r>
      <w:r w:rsidR="00635FC7">
        <w:t xml:space="preserve">entscheidet über die Bewilligung </w:t>
      </w:r>
      <w:r w:rsidR="00F535B5" w:rsidRPr="006C5CA5">
        <w:t>und verfügt über das Budget des Klimaschutzfonds.</w:t>
      </w:r>
      <w:r w:rsidR="00761B17" w:rsidRPr="00FF5B06">
        <w:t xml:space="preserve"> </w:t>
      </w:r>
      <w:r w:rsidR="00FF5B06" w:rsidRPr="00FF5B06">
        <w:t>D</w:t>
      </w:r>
      <w:r w:rsidR="00761B17" w:rsidRPr="00FF5B06">
        <w:t xml:space="preserve">ie </w:t>
      </w:r>
      <w:r w:rsidR="00FF5B06" w:rsidRPr="00FF5B06">
        <w:t>buchungs</w:t>
      </w:r>
      <w:r w:rsidR="00761B17" w:rsidRPr="00FF5B06">
        <w:t xml:space="preserve">technische Abwicklung der Speisung und Ausreichung des kreiskirchlichen Klimaschutzfonds </w:t>
      </w:r>
      <w:r w:rsidR="00237E06">
        <w:t>wird</w:t>
      </w:r>
      <w:r w:rsidR="00761B17" w:rsidRPr="00FF5B06">
        <w:t xml:space="preserve"> im gegenseitigen Einvernehmen dem </w:t>
      </w:r>
      <w:r w:rsidR="00FF5B06" w:rsidRPr="00FF5B06">
        <w:t xml:space="preserve">jeweils </w:t>
      </w:r>
      <w:r w:rsidR="00761B17" w:rsidRPr="00FF5B06">
        <w:t>zuständigen Kirchlichen Verwaltungsamt übertragen.</w:t>
      </w:r>
    </w:p>
    <w:p w14:paraId="65F95594" w14:textId="77777777" w:rsidR="002B3BF9" w:rsidRPr="006C5CA5" w:rsidRDefault="00F535B5" w:rsidP="000655D5">
      <w:pPr>
        <w:pStyle w:val="berschrift1"/>
        <w:numPr>
          <w:ilvl w:val="0"/>
          <w:numId w:val="20"/>
        </w:numPr>
        <w:tabs>
          <w:tab w:val="clear" w:pos="0"/>
        </w:tabs>
        <w:spacing w:before="205"/>
        <w:jc w:val="both"/>
      </w:pPr>
      <w:r w:rsidRPr="006C5CA5">
        <w:t>Antragsverfahren auf Mittel aus dem</w:t>
      </w:r>
      <w:r w:rsidRPr="006C5CA5">
        <w:rPr>
          <w:spacing w:val="-2"/>
        </w:rPr>
        <w:t xml:space="preserve"> </w:t>
      </w:r>
      <w:r w:rsidRPr="006C5CA5">
        <w:t>Klimaschutzfonds</w:t>
      </w:r>
    </w:p>
    <w:p w14:paraId="2954EE3A" w14:textId="77777777" w:rsidR="002B3BF9" w:rsidRPr="00D5014F" w:rsidRDefault="002B3BF9" w:rsidP="000655D5">
      <w:pPr>
        <w:pStyle w:val="Textbody"/>
        <w:tabs>
          <w:tab w:val="left" w:pos="1985"/>
        </w:tabs>
        <w:jc w:val="both"/>
      </w:pPr>
    </w:p>
    <w:p w14:paraId="5A7FA35F" w14:textId="78D51C67" w:rsidR="002B3BF9" w:rsidRPr="006C5CA5" w:rsidRDefault="00F535B5" w:rsidP="000655D5">
      <w:pPr>
        <w:pStyle w:val="Textbody"/>
        <w:tabs>
          <w:tab w:val="left" w:pos="1985"/>
        </w:tabs>
        <w:spacing w:before="1"/>
        <w:ind w:right="115"/>
        <w:jc w:val="both"/>
      </w:pPr>
      <w:r w:rsidRPr="006C5CA5">
        <w:t xml:space="preserve">Antragsberechtigt sind </w:t>
      </w:r>
      <w:r w:rsidR="00B616DE">
        <w:t xml:space="preserve">der </w:t>
      </w:r>
      <w:r w:rsidRPr="006C5CA5">
        <w:t>Kirchenkreis,</w:t>
      </w:r>
      <w:r w:rsidR="00B616DE">
        <w:t xml:space="preserve"> die </w:t>
      </w:r>
      <w:r w:rsidRPr="006C5CA5">
        <w:t>Kirchengemeinden und deren Zusammen</w:t>
      </w:r>
      <w:r w:rsidR="00237E06">
        <w:t>-</w:t>
      </w:r>
      <w:r w:rsidRPr="006C5CA5">
        <w:t xml:space="preserve">schlüsse </w:t>
      </w:r>
      <w:r w:rsidR="00191A72">
        <w:t xml:space="preserve">(siehe </w:t>
      </w:r>
      <w:r w:rsidR="00191A72" w:rsidRPr="006C5CA5">
        <w:t>§</w:t>
      </w:r>
      <w:r w:rsidR="00191A72">
        <w:t>§ 3 bis 6 KlSchG)</w:t>
      </w:r>
      <w:r w:rsidRPr="006C5CA5">
        <w:t>. Eine anteilige Verpflichtung und Berechtigung führt zu einer anteiligen Förderung. Die Inanspruchnahme einer Förderung schließt eine spätere Befreiung von der Zahlungspflicht nach §</w:t>
      </w:r>
      <w:r w:rsidR="005661A4">
        <w:t> </w:t>
      </w:r>
      <w:r w:rsidRPr="006C5CA5">
        <w:t>5 Absatz</w:t>
      </w:r>
      <w:r w:rsidR="005661A4">
        <w:t> </w:t>
      </w:r>
      <w:r w:rsidRPr="006C5CA5">
        <w:t>5 des KlSchG aus.</w:t>
      </w:r>
    </w:p>
    <w:p w14:paraId="6C539422" w14:textId="77777777" w:rsidR="002B3BF9" w:rsidRPr="006C5CA5" w:rsidRDefault="002B3BF9" w:rsidP="000655D5">
      <w:pPr>
        <w:pStyle w:val="Textbody"/>
        <w:tabs>
          <w:tab w:val="left" w:pos="1985"/>
        </w:tabs>
        <w:spacing w:before="1"/>
        <w:ind w:right="115"/>
        <w:jc w:val="both"/>
        <w:rPr>
          <w:highlight w:val="yellow"/>
        </w:rPr>
      </w:pPr>
    </w:p>
    <w:p w14:paraId="5D66C925" w14:textId="53B6BA14" w:rsidR="002B3BF9" w:rsidRPr="006C5CA5" w:rsidRDefault="00F535B5" w:rsidP="000655D5">
      <w:pPr>
        <w:pStyle w:val="Textbody"/>
        <w:tabs>
          <w:tab w:val="left" w:pos="1985"/>
        </w:tabs>
        <w:spacing w:before="1"/>
        <w:ind w:right="115"/>
        <w:jc w:val="both"/>
      </w:pPr>
      <w:r w:rsidRPr="006C5CA5">
        <w:lastRenderedPageBreak/>
        <w:t xml:space="preserve">Anträge sind schriftlich oder elektronisch per E-Mail </w:t>
      </w:r>
      <w:r w:rsidR="004955A9">
        <w:t xml:space="preserve">an </w:t>
      </w:r>
      <w:r w:rsidR="00FF5B06" w:rsidRPr="00FF5B06">
        <w:rPr>
          <w:i/>
        </w:rPr>
        <w:t>[zuständige Stelle des Kirchenkreises eintragen]</w:t>
      </w:r>
      <w:r w:rsidRPr="006C5CA5">
        <w:t xml:space="preserve"> einzureichen.</w:t>
      </w:r>
    </w:p>
    <w:p w14:paraId="4B3F86C1" w14:textId="77777777" w:rsidR="002B3BF9" w:rsidRPr="006C5CA5" w:rsidRDefault="002B3BF9" w:rsidP="000655D5">
      <w:pPr>
        <w:pStyle w:val="Textbody"/>
        <w:tabs>
          <w:tab w:val="left" w:pos="1985"/>
        </w:tabs>
        <w:spacing w:before="11"/>
        <w:jc w:val="both"/>
      </w:pPr>
    </w:p>
    <w:p w14:paraId="5F216CAF" w14:textId="77777777" w:rsidR="002B3BF9" w:rsidRPr="006C5CA5" w:rsidRDefault="00F535B5" w:rsidP="000655D5">
      <w:pPr>
        <w:pStyle w:val="Textbody"/>
        <w:tabs>
          <w:tab w:val="left" w:pos="1985"/>
        </w:tabs>
        <w:jc w:val="both"/>
      </w:pPr>
      <w:r w:rsidRPr="006C5CA5">
        <w:t>Folgende Anlagen sind dem Antrag beizufügen:</w:t>
      </w:r>
    </w:p>
    <w:p w14:paraId="205355DC" w14:textId="240D65F0" w:rsidR="002B3BF9" w:rsidRPr="006C5CA5" w:rsidRDefault="002B3BF9" w:rsidP="000655D5">
      <w:pPr>
        <w:pStyle w:val="Textbody"/>
        <w:tabs>
          <w:tab w:val="left" w:pos="1985"/>
        </w:tabs>
        <w:jc w:val="both"/>
      </w:pPr>
    </w:p>
    <w:p w14:paraId="38119C0F" w14:textId="417766D6" w:rsidR="002B3BF9" w:rsidRPr="006C5CA5" w:rsidRDefault="00F535B5" w:rsidP="000655D5">
      <w:pPr>
        <w:pStyle w:val="Listenabsatz"/>
        <w:numPr>
          <w:ilvl w:val="0"/>
          <w:numId w:val="27"/>
        </w:numPr>
        <w:tabs>
          <w:tab w:val="left" w:pos="1673"/>
          <w:tab w:val="left" w:pos="1985"/>
        </w:tabs>
        <w:ind w:left="836" w:hanging="361"/>
        <w:jc w:val="both"/>
      </w:pPr>
      <w:r w:rsidRPr="006C5CA5">
        <w:t xml:space="preserve">Nutzungskonzept </w:t>
      </w:r>
      <w:r w:rsidR="00017BD3" w:rsidRPr="006C5CA5">
        <w:t>für das betreffende Gebäud</w:t>
      </w:r>
      <w:r w:rsidR="00017BD3">
        <w:t>e</w:t>
      </w:r>
      <w:r w:rsidR="00017BD3" w:rsidRPr="006C5CA5">
        <w:t xml:space="preserve"> </w:t>
      </w:r>
      <w:r w:rsidR="0041554B" w:rsidRPr="006C5CA5">
        <w:t>(Art und Anzahl momentan stattfindender Veransta</w:t>
      </w:r>
      <w:r w:rsidR="00017BD3">
        <w:t>ltungen, Teilnehmerzahlen etc.)</w:t>
      </w:r>
      <w:r w:rsidRPr="006C5CA5">
        <w:t>;</w:t>
      </w:r>
    </w:p>
    <w:p w14:paraId="606721C4" w14:textId="7C8B69E0" w:rsidR="008560B8" w:rsidRPr="006C5CA5" w:rsidRDefault="00F535B5" w:rsidP="000655D5">
      <w:pPr>
        <w:pStyle w:val="Listenabsatz"/>
        <w:numPr>
          <w:ilvl w:val="0"/>
          <w:numId w:val="27"/>
        </w:numPr>
        <w:tabs>
          <w:tab w:val="left" w:pos="1673"/>
          <w:tab w:val="left" w:pos="1985"/>
        </w:tabs>
        <w:ind w:left="836" w:hanging="361"/>
        <w:jc w:val="both"/>
      </w:pPr>
      <w:r w:rsidRPr="006C5CA5">
        <w:t>Gebäude- und Energieverbrau</w:t>
      </w:r>
      <w:r w:rsidR="008560B8" w:rsidRPr="006C5CA5">
        <w:t>chsdaten der letzten fünf Jahre</w:t>
      </w:r>
      <w:r w:rsidR="00017BD3">
        <w:t xml:space="preserve"> (so</w:t>
      </w:r>
      <w:r w:rsidR="00B616DE">
        <w:t>fern</w:t>
      </w:r>
      <w:r w:rsidR="00017BD3">
        <w:t xml:space="preserve"> nicht im Grünen Datenkonto vorliegend)</w:t>
      </w:r>
      <w:r w:rsidR="008560B8" w:rsidRPr="006C5CA5">
        <w:t>;</w:t>
      </w:r>
    </w:p>
    <w:p w14:paraId="1995AD66" w14:textId="418968AA" w:rsidR="008560B8" w:rsidRPr="006C5CA5" w:rsidRDefault="00017BD3" w:rsidP="000655D5">
      <w:pPr>
        <w:pStyle w:val="Listenabsatz"/>
        <w:numPr>
          <w:ilvl w:val="0"/>
          <w:numId w:val="27"/>
        </w:numPr>
        <w:tabs>
          <w:tab w:val="left" w:pos="1673"/>
          <w:tab w:val="left" w:pos="1985"/>
        </w:tabs>
        <w:ind w:left="836" w:hanging="361"/>
        <w:jc w:val="both"/>
      </w:pPr>
      <w:r w:rsidRPr="006C5CA5">
        <w:t>Beschreibung der Maßnahme</w:t>
      </w:r>
      <w:r>
        <w:t xml:space="preserve"> / </w:t>
      </w:r>
      <w:r w:rsidR="00F535B5" w:rsidRPr="006C5CA5">
        <w:t>Maßnahmenkatalog</w:t>
      </w:r>
      <w:r w:rsidR="00F97DBC" w:rsidRPr="006C5CA5">
        <w:t>;</w:t>
      </w:r>
    </w:p>
    <w:p w14:paraId="61508B85" w14:textId="77777777" w:rsidR="00383B8F" w:rsidRPr="006C5CA5" w:rsidRDefault="00F535B5" w:rsidP="000655D5">
      <w:pPr>
        <w:pStyle w:val="Listenabsatz"/>
        <w:numPr>
          <w:ilvl w:val="0"/>
          <w:numId w:val="27"/>
        </w:numPr>
        <w:tabs>
          <w:tab w:val="left" w:pos="1673"/>
          <w:tab w:val="left" w:pos="1985"/>
        </w:tabs>
        <w:ind w:left="836" w:hanging="361"/>
        <w:jc w:val="both"/>
      </w:pPr>
      <w:r w:rsidRPr="006C5CA5">
        <w:t>Nachweis der klimabedingten</w:t>
      </w:r>
      <w:r w:rsidRPr="006C5CA5">
        <w:rPr>
          <w:spacing w:val="-1"/>
        </w:rPr>
        <w:t xml:space="preserve"> </w:t>
      </w:r>
      <w:r w:rsidRPr="006C5CA5">
        <w:t>Mehrkosten</w:t>
      </w:r>
      <w:r w:rsidRPr="006C5CA5">
        <w:rPr>
          <w:rStyle w:val="FootnoteAnchor"/>
        </w:rPr>
        <w:footnoteReference w:id="2"/>
      </w:r>
      <w:r w:rsidRPr="006C5CA5">
        <w:t>;</w:t>
      </w:r>
    </w:p>
    <w:p w14:paraId="55ABEFBF" w14:textId="5A517CC1" w:rsidR="00383B8F" w:rsidRPr="006C5CA5" w:rsidRDefault="00F535B5" w:rsidP="000655D5">
      <w:pPr>
        <w:pStyle w:val="Listenabsatz"/>
        <w:numPr>
          <w:ilvl w:val="0"/>
          <w:numId w:val="27"/>
        </w:numPr>
        <w:tabs>
          <w:tab w:val="left" w:pos="1673"/>
          <w:tab w:val="left" w:pos="1985"/>
        </w:tabs>
        <w:ind w:left="836" w:hanging="361"/>
        <w:jc w:val="both"/>
      </w:pPr>
      <w:r w:rsidRPr="006C5CA5">
        <w:t>Gesamtenergiekonzept eines</w:t>
      </w:r>
      <w:r w:rsidR="00383B8F" w:rsidRPr="006C5CA5">
        <w:t xml:space="preserve"> </w:t>
      </w:r>
      <w:r w:rsidRPr="006C5CA5">
        <w:t>Fachplan</w:t>
      </w:r>
      <w:r w:rsidR="00237E06">
        <w:t xml:space="preserve">ungs-, Architektur- oder Ingenieurbüros </w:t>
      </w:r>
      <w:r w:rsidRPr="006C5CA5">
        <w:t xml:space="preserve">incl. Nachweis über </w:t>
      </w:r>
      <w:r w:rsidR="006C5CA5" w:rsidRPr="006C5CA5">
        <w:t>die voraussichtliche</w:t>
      </w:r>
      <w:r w:rsidRPr="006C5CA5">
        <w:t xml:space="preserve"> Reduzierung der CO</w:t>
      </w:r>
      <w:r w:rsidRPr="006C5CA5">
        <w:rPr>
          <w:vertAlign w:val="subscript"/>
        </w:rPr>
        <w:t>2e</w:t>
      </w:r>
      <w:r w:rsidRPr="006C5CA5">
        <w:t>-Emissionen</w:t>
      </w:r>
      <w:r w:rsidR="001F201C" w:rsidRPr="006C5CA5">
        <w:t>, die Treibhausgasvermeidungskosten</w:t>
      </w:r>
      <w:r w:rsidRPr="006C5CA5">
        <w:t xml:space="preserve"> </w:t>
      </w:r>
      <w:r w:rsidR="00F97DBC" w:rsidRPr="006C5CA5">
        <w:t>und eine Lebenszykluskostenrechnung</w:t>
      </w:r>
      <w:r w:rsidR="0005523D" w:rsidRPr="006C5CA5">
        <w:rPr>
          <w:rStyle w:val="FootnoteAnchor"/>
        </w:rPr>
        <w:footnoteReference w:id="3"/>
      </w:r>
      <w:r w:rsidR="0041554B" w:rsidRPr="006C5CA5">
        <w:t xml:space="preserve"> </w:t>
      </w:r>
      <w:r w:rsidR="00F97DBC" w:rsidRPr="006C5CA5">
        <w:t xml:space="preserve">über </w:t>
      </w:r>
      <w:r w:rsidR="001F201C" w:rsidRPr="006C5CA5">
        <w:t>die Lebensdauer der Bauteile</w:t>
      </w:r>
      <w:bookmarkStart w:id="1" w:name="_Ref94114380"/>
      <w:r w:rsidRPr="006C5CA5">
        <w:rPr>
          <w:rStyle w:val="FootnoteAnchor"/>
        </w:rPr>
        <w:footnoteReference w:id="4"/>
      </w:r>
      <w:bookmarkEnd w:id="1"/>
      <w:r w:rsidRPr="006C5CA5">
        <w:t>. Dies beinhaltet auch eine Vergleichsberechnung zwischen a</w:t>
      </w:r>
      <w:r w:rsidR="00AC77DE">
        <w:t>lter und neu zu errichtender</w:t>
      </w:r>
      <w:r w:rsidRPr="006C5CA5">
        <w:rPr>
          <w:spacing w:val="-1"/>
        </w:rPr>
        <w:t xml:space="preserve"> </w:t>
      </w:r>
      <w:r w:rsidRPr="006C5CA5">
        <w:t>Anlage</w:t>
      </w:r>
      <w:r w:rsidR="00F97DBC" w:rsidRPr="006C5CA5">
        <w:t xml:space="preserve">. </w:t>
      </w:r>
      <w:r w:rsidR="00AC77DE">
        <w:t>Eine</w:t>
      </w:r>
      <w:r w:rsidR="00F97DBC" w:rsidRPr="006C5CA5">
        <w:t xml:space="preserve"> </w:t>
      </w:r>
      <w:r w:rsidR="00FB2B31" w:rsidRPr="006C5CA5">
        <w:t>Vergleichsberechnung</w:t>
      </w:r>
      <w:r w:rsidR="00F97DBC" w:rsidRPr="006C5CA5">
        <w:t xml:space="preserve"> entfällt für </w:t>
      </w:r>
      <w:r w:rsidR="00AC77DE">
        <w:t>ne</w:t>
      </w:r>
      <w:r w:rsidR="00F60213">
        <w:t>u zu errichtende Anlagen</w:t>
      </w:r>
      <w:r w:rsidR="00AC77DE">
        <w:t>, die ausschließlich Ökostrom verwenden.</w:t>
      </w:r>
    </w:p>
    <w:p w14:paraId="178676E2" w14:textId="18B1E530" w:rsidR="002B3BF9" w:rsidRPr="006C5CA5" w:rsidRDefault="00F535B5" w:rsidP="000655D5">
      <w:pPr>
        <w:pStyle w:val="Listenabsatz"/>
        <w:numPr>
          <w:ilvl w:val="0"/>
          <w:numId w:val="27"/>
        </w:numPr>
        <w:tabs>
          <w:tab w:val="left" w:pos="1673"/>
          <w:tab w:val="left" w:pos="1985"/>
        </w:tabs>
        <w:ind w:left="836" w:hanging="361"/>
        <w:jc w:val="both"/>
      </w:pPr>
      <w:r w:rsidRPr="006C5CA5">
        <w:t>Kostenberechnung</w:t>
      </w:r>
      <w:r w:rsidR="00761B17">
        <w:t>, Kostenschätzung nach DIN</w:t>
      </w:r>
      <w:r w:rsidR="003A2B5D">
        <w:t> </w:t>
      </w:r>
      <w:r w:rsidR="00761B17">
        <w:t>276</w:t>
      </w:r>
      <w:r w:rsidRPr="006C5CA5">
        <w:t xml:space="preserve"> und/oder </w:t>
      </w:r>
      <w:r w:rsidR="006C5CA5">
        <w:t>mit</w:t>
      </w:r>
      <w:r w:rsidRPr="006C5CA5">
        <w:t xml:space="preserve">einander vergleichbare </w:t>
      </w:r>
      <w:r w:rsidR="001F201C" w:rsidRPr="006C5CA5">
        <w:t>Kostenvoranschläge</w:t>
      </w:r>
      <w:r w:rsidRPr="006C5CA5">
        <w:t>;</w:t>
      </w:r>
    </w:p>
    <w:p w14:paraId="1C8B7E7E" w14:textId="2E874DA7" w:rsidR="002B3BF9" w:rsidRPr="006C5CA5" w:rsidRDefault="003A2B5D" w:rsidP="000655D5">
      <w:pPr>
        <w:pStyle w:val="Listenabsatz"/>
        <w:numPr>
          <w:ilvl w:val="0"/>
          <w:numId w:val="27"/>
        </w:numPr>
        <w:tabs>
          <w:tab w:val="left" w:pos="1673"/>
          <w:tab w:val="left" w:pos="1985"/>
        </w:tabs>
        <w:ind w:left="836" w:hanging="361"/>
        <w:jc w:val="both"/>
      </w:pPr>
      <w:r>
        <w:t>Bei Baudenkmalen: d</w:t>
      </w:r>
      <w:r w:rsidR="00F535B5" w:rsidRPr="006C5CA5">
        <w:t>enkmalrechtliche Erlaubnis (ersatzweise de</w:t>
      </w:r>
      <w:r w:rsidR="000D6649">
        <w:t>r</w:t>
      </w:r>
      <w:r w:rsidR="00F535B5" w:rsidRPr="006C5CA5">
        <w:t xml:space="preserve"> Antrag</w:t>
      </w:r>
      <w:r w:rsidR="00F535B5" w:rsidRPr="006C5CA5">
        <w:rPr>
          <w:spacing w:val="-13"/>
        </w:rPr>
        <w:t xml:space="preserve"> </w:t>
      </w:r>
      <w:r w:rsidR="00F535B5" w:rsidRPr="006C5CA5">
        <w:t>dazu);</w:t>
      </w:r>
    </w:p>
    <w:p w14:paraId="2E8058B4" w14:textId="4CD1D059" w:rsidR="002B3BF9" w:rsidRPr="006C5CA5" w:rsidRDefault="00F535B5" w:rsidP="000655D5">
      <w:pPr>
        <w:pStyle w:val="Listenabsatz"/>
        <w:numPr>
          <w:ilvl w:val="0"/>
          <w:numId w:val="27"/>
        </w:numPr>
        <w:tabs>
          <w:tab w:val="left" w:pos="1673"/>
          <w:tab w:val="left" w:pos="1985"/>
        </w:tabs>
        <w:ind w:left="836" w:hanging="361"/>
        <w:jc w:val="both"/>
      </w:pPr>
      <w:r w:rsidRPr="006C5CA5">
        <w:t>Beschluss des GKR mit vorläufigem</w:t>
      </w:r>
      <w:r w:rsidRPr="006C5CA5">
        <w:rPr>
          <w:spacing w:val="-1"/>
        </w:rPr>
        <w:t xml:space="preserve"> </w:t>
      </w:r>
      <w:r w:rsidRPr="006C5CA5">
        <w:t>Finanzierungsplan;</w:t>
      </w:r>
    </w:p>
    <w:p w14:paraId="0CD7BC53" w14:textId="428699B2" w:rsidR="00FB2B31" w:rsidRPr="006C5CA5" w:rsidRDefault="00FB2B31" w:rsidP="000655D5">
      <w:pPr>
        <w:pStyle w:val="Listenabsatz"/>
        <w:numPr>
          <w:ilvl w:val="0"/>
          <w:numId w:val="27"/>
        </w:numPr>
        <w:tabs>
          <w:tab w:val="left" w:pos="1673"/>
          <w:tab w:val="left" w:pos="1985"/>
        </w:tabs>
        <w:ind w:left="836" w:hanging="361"/>
        <w:jc w:val="both"/>
      </w:pPr>
      <w:r w:rsidRPr="006C5CA5">
        <w:t xml:space="preserve">Votum </w:t>
      </w:r>
      <w:r w:rsidR="0041554B" w:rsidRPr="006C5CA5">
        <w:t>der</w:t>
      </w:r>
      <w:r w:rsidR="00F535B5" w:rsidRPr="006C5CA5">
        <w:t xml:space="preserve"> </w:t>
      </w:r>
      <w:r w:rsidR="00237E06">
        <w:t>Ansprechperson</w:t>
      </w:r>
      <w:r w:rsidR="0041554B" w:rsidRPr="006C5CA5">
        <w:t xml:space="preserve"> mit entsprechender fachlicher Qualifikation für Fragen des Klimaschutzes (Klimakümmerer:</w:t>
      </w:r>
      <w:r w:rsidRPr="006C5CA5">
        <w:t>in</w:t>
      </w:r>
      <w:r w:rsidR="0041554B" w:rsidRPr="006C5CA5">
        <w:t>)</w:t>
      </w:r>
      <w:r w:rsidRPr="006C5CA5">
        <w:t xml:space="preserve"> zur Zielkonformität</w:t>
      </w:r>
      <w:r w:rsidR="0041554B" w:rsidRPr="006C5CA5">
        <w:t xml:space="preserve"> </w:t>
      </w:r>
      <w:r w:rsidR="006C5CA5" w:rsidRPr="006C5CA5">
        <w:t>nach §</w:t>
      </w:r>
      <w:r w:rsidR="003A2B5D">
        <w:t> </w:t>
      </w:r>
      <w:r w:rsidR="006C5CA5" w:rsidRPr="006C5CA5">
        <w:t>2 KlSchG</w:t>
      </w:r>
      <w:r w:rsidR="006C5CA5">
        <w:t xml:space="preserve"> der geplanten Maßnahme</w:t>
      </w:r>
      <w:r w:rsidR="000D6649">
        <w:t>;</w:t>
      </w:r>
    </w:p>
    <w:p w14:paraId="551E8C6F" w14:textId="44EA70F8" w:rsidR="002B3BF9" w:rsidRPr="006C5CA5" w:rsidRDefault="00560051" w:rsidP="000655D5">
      <w:pPr>
        <w:pStyle w:val="Listenabsatz"/>
        <w:numPr>
          <w:ilvl w:val="0"/>
          <w:numId w:val="27"/>
        </w:numPr>
        <w:tabs>
          <w:tab w:val="left" w:pos="1673"/>
          <w:tab w:val="left" w:pos="1985"/>
        </w:tabs>
        <w:ind w:left="836" w:hanging="361"/>
        <w:jc w:val="both"/>
      </w:pPr>
      <w:r w:rsidRPr="006C5CA5">
        <w:t xml:space="preserve">Nachweis über die </w:t>
      </w:r>
      <w:r w:rsidR="0041554B" w:rsidRPr="006C5CA5">
        <w:t xml:space="preserve">geplante </w:t>
      </w:r>
      <w:r w:rsidRPr="006C5CA5">
        <w:t xml:space="preserve">langfristige kirchliche Nutzung des Gebäudes anhand der kreiskirchlichen Gebäudebedarfsplanung (Auszug) oder durch eine entsprechende </w:t>
      </w:r>
      <w:r w:rsidR="0041554B" w:rsidRPr="006C5CA5">
        <w:t xml:space="preserve">positive Stellungnahme </w:t>
      </w:r>
      <w:r w:rsidR="00F535B5" w:rsidRPr="006C5CA5">
        <w:t>des Kreiskirchenrates</w:t>
      </w:r>
      <w:r w:rsidR="0041554B" w:rsidRPr="006C5CA5">
        <w:t>.</w:t>
      </w:r>
      <w:r w:rsidR="00D803B7" w:rsidRPr="006C5CA5">
        <w:t xml:space="preserve"> </w:t>
      </w:r>
      <w:r w:rsidR="00F535B5" w:rsidRPr="006C5CA5">
        <w:t xml:space="preserve">Bei Kirchen </w:t>
      </w:r>
      <w:r w:rsidR="00D803B7" w:rsidRPr="006C5CA5">
        <w:t>und</w:t>
      </w:r>
      <w:r w:rsidR="00F535B5" w:rsidRPr="006C5CA5">
        <w:t xml:space="preserve"> Kapellen</w:t>
      </w:r>
      <w:r w:rsidR="00D803B7" w:rsidRPr="006C5CA5">
        <w:t xml:space="preserve"> </w:t>
      </w:r>
      <w:r w:rsidR="006C5CA5">
        <w:t>müssen</w:t>
      </w:r>
      <w:r w:rsidR="00F535B5" w:rsidRPr="006C5CA5">
        <w:t xml:space="preserve"> die betreffenden Gebäude in der Gebäudebedarfsplanung des Kirchenkreises explizit als notwendig zu beheizen ausgewiesen s</w:t>
      </w:r>
      <w:r w:rsidR="002E03E2">
        <w:t>ein</w:t>
      </w:r>
      <w:r w:rsidR="00F535B5" w:rsidRPr="006C5CA5">
        <w:t>. Die Notwendigkeit ist schriftlich zu begründen.</w:t>
      </w:r>
      <w:r w:rsidR="002E03E2">
        <w:t xml:space="preserve"> Es ist zu erläutern, welche </w:t>
      </w:r>
      <w:r w:rsidR="002E03E2" w:rsidRPr="002E03E2">
        <w:t>technische</w:t>
      </w:r>
      <w:r w:rsidR="002E03E2">
        <w:t>n, organi</w:t>
      </w:r>
      <w:r w:rsidR="002E03E2" w:rsidRPr="002E03E2">
        <w:t>satorische</w:t>
      </w:r>
      <w:r w:rsidR="002E03E2">
        <w:t>n</w:t>
      </w:r>
      <w:r w:rsidR="002E03E2" w:rsidRPr="002E03E2">
        <w:t xml:space="preserve"> oder bauliche</w:t>
      </w:r>
      <w:r w:rsidR="002E03E2">
        <w:t>n</w:t>
      </w:r>
      <w:r w:rsidR="002E03E2" w:rsidRPr="002E03E2">
        <w:t xml:space="preserve"> Lösung</w:t>
      </w:r>
      <w:r w:rsidR="002E03E2">
        <w:t>en geprüft wurden, die dazu führen würden, dass von einem Heizsystem</w:t>
      </w:r>
      <w:r w:rsidR="002E03E2" w:rsidRPr="002E03E2">
        <w:t>, das das gesamte Gebäude aufheizt</w:t>
      </w:r>
      <w:r w:rsidR="00AB73E3">
        <w:t>,</w:t>
      </w:r>
      <w:r w:rsidR="002E03E2">
        <w:t xml:space="preserve"> abgesehen werden kann</w:t>
      </w:r>
      <w:r w:rsidR="00AB73E3">
        <w:t>,</w:t>
      </w:r>
      <w:r w:rsidR="002E03E2">
        <w:t xml:space="preserve"> und warum diese nicht in Frage kommen.</w:t>
      </w:r>
    </w:p>
    <w:p w14:paraId="0FFE6C3F" w14:textId="77777777" w:rsidR="002B3BF9" w:rsidRPr="006C5CA5" w:rsidRDefault="00F535B5" w:rsidP="000655D5">
      <w:pPr>
        <w:pStyle w:val="berschrift1"/>
        <w:numPr>
          <w:ilvl w:val="0"/>
          <w:numId w:val="20"/>
        </w:numPr>
        <w:tabs>
          <w:tab w:val="clear" w:pos="0"/>
        </w:tabs>
        <w:spacing w:before="205"/>
        <w:jc w:val="both"/>
      </w:pPr>
      <w:r w:rsidRPr="006C5CA5">
        <w:t>Entscheidungen über</w:t>
      </w:r>
      <w:r w:rsidRPr="006C5CA5">
        <w:rPr>
          <w:spacing w:val="1"/>
        </w:rPr>
        <w:t xml:space="preserve"> </w:t>
      </w:r>
      <w:r w:rsidRPr="006C5CA5">
        <w:t>Zuschüsse</w:t>
      </w:r>
    </w:p>
    <w:p w14:paraId="2E8B7246" w14:textId="77777777" w:rsidR="002B3BF9" w:rsidRPr="00D5014F" w:rsidRDefault="002B3BF9" w:rsidP="000655D5">
      <w:pPr>
        <w:pStyle w:val="Textbody"/>
        <w:tabs>
          <w:tab w:val="left" w:pos="1985"/>
        </w:tabs>
        <w:spacing w:before="2"/>
        <w:jc w:val="both"/>
      </w:pPr>
    </w:p>
    <w:p w14:paraId="36ABA28D" w14:textId="35F44CC5" w:rsidR="002B3BF9" w:rsidRPr="006C5CA5" w:rsidRDefault="00F535B5" w:rsidP="000655D5">
      <w:pPr>
        <w:pStyle w:val="Textbody"/>
        <w:tabs>
          <w:tab w:val="left" w:pos="1985"/>
        </w:tabs>
        <w:spacing w:before="1"/>
        <w:ind w:right="113"/>
        <w:jc w:val="both"/>
      </w:pPr>
      <w:r w:rsidRPr="006C5CA5">
        <w:t xml:space="preserve">Über die Höhe des Zuschusses entscheidet </w:t>
      </w:r>
      <w:r w:rsidR="00AB3878" w:rsidRPr="00FF5B06">
        <w:rPr>
          <w:i/>
        </w:rPr>
        <w:t>[zuständige Stelle des Kirchenkreises eintragen]</w:t>
      </w:r>
      <w:r w:rsidRPr="006C5CA5">
        <w:t>.</w:t>
      </w:r>
      <w:r w:rsidR="00D803B7" w:rsidRPr="006C5CA5">
        <w:t xml:space="preserve"> D</w:t>
      </w:r>
      <w:r w:rsidRPr="006C5CA5">
        <w:t>er Zuschuss kann mit Auflagen verbunden sein.</w:t>
      </w:r>
    </w:p>
    <w:p w14:paraId="7187BAC2" w14:textId="77777777" w:rsidR="002B3BF9" w:rsidRPr="006C5CA5" w:rsidRDefault="002B3BF9" w:rsidP="000655D5">
      <w:pPr>
        <w:pStyle w:val="Textbody"/>
        <w:tabs>
          <w:tab w:val="left" w:pos="1985"/>
        </w:tabs>
        <w:spacing w:before="10"/>
        <w:jc w:val="both"/>
      </w:pPr>
    </w:p>
    <w:p w14:paraId="7F14A5E0" w14:textId="58DB562F" w:rsidR="002B3BF9" w:rsidRPr="006C5CA5" w:rsidRDefault="00F535B5" w:rsidP="000655D5">
      <w:pPr>
        <w:pStyle w:val="Textbody"/>
        <w:tabs>
          <w:tab w:val="left" w:pos="1985"/>
        </w:tabs>
        <w:spacing w:before="1"/>
        <w:ind w:right="114"/>
        <w:jc w:val="both"/>
      </w:pPr>
      <w:r w:rsidRPr="006C5CA5">
        <w:t>Folgende Vorhaben sind beispielhaft förderfähig; die Auflistung ist nicht abschließend</w:t>
      </w:r>
      <w:r w:rsidR="00526BBB">
        <w:t>:</w:t>
      </w:r>
    </w:p>
    <w:p w14:paraId="02D9CDB1" w14:textId="77777777" w:rsidR="002B3BF9" w:rsidRPr="006C5CA5" w:rsidRDefault="002B3BF9" w:rsidP="000655D5">
      <w:pPr>
        <w:pStyle w:val="Textbody"/>
        <w:tabs>
          <w:tab w:val="left" w:pos="1985"/>
        </w:tabs>
        <w:spacing w:before="8"/>
        <w:jc w:val="both"/>
      </w:pPr>
    </w:p>
    <w:p w14:paraId="78B4B000" w14:textId="77777777" w:rsidR="002B3BF9" w:rsidRPr="006C5CA5" w:rsidRDefault="00F535B5" w:rsidP="000655D5">
      <w:pPr>
        <w:pStyle w:val="berschrift1"/>
        <w:numPr>
          <w:ilvl w:val="1"/>
          <w:numId w:val="38"/>
        </w:numPr>
        <w:tabs>
          <w:tab w:val="clear" w:pos="0"/>
        </w:tabs>
        <w:jc w:val="both"/>
      </w:pPr>
      <w:r w:rsidRPr="006C5CA5">
        <w:t>Förderung von Beratungen, Planungen und Konzepten</w:t>
      </w:r>
    </w:p>
    <w:p w14:paraId="46D0F2C1" w14:textId="77777777" w:rsidR="002B3BF9" w:rsidRPr="00D5014F" w:rsidRDefault="002B3BF9" w:rsidP="000655D5">
      <w:pPr>
        <w:pStyle w:val="Textbody"/>
        <w:tabs>
          <w:tab w:val="left" w:pos="1985"/>
        </w:tabs>
        <w:spacing w:before="3"/>
        <w:jc w:val="both"/>
      </w:pPr>
    </w:p>
    <w:p w14:paraId="58FD9F2B" w14:textId="70FCC1F1" w:rsidR="002B3BF9" w:rsidRPr="006C5CA5" w:rsidRDefault="00F535B5" w:rsidP="000655D5">
      <w:pPr>
        <w:pStyle w:val="Textbody"/>
        <w:tabs>
          <w:tab w:val="left" w:pos="1985"/>
        </w:tabs>
        <w:ind w:right="191"/>
        <w:jc w:val="both"/>
      </w:pPr>
      <w:r w:rsidRPr="006C5CA5">
        <w:t xml:space="preserve">Durch geeignete Fachleute durchgeführte </w:t>
      </w:r>
      <w:r w:rsidR="00383B8F" w:rsidRPr="006C5CA5">
        <w:t>Fachp</w:t>
      </w:r>
      <w:r w:rsidRPr="006C5CA5">
        <w:t>lanungen können mit dem Ziel gefördert werden, eine deutliche Reduzierung der CO</w:t>
      </w:r>
      <w:r w:rsidRPr="006C5CA5">
        <w:rPr>
          <w:vertAlign w:val="subscript"/>
        </w:rPr>
        <w:t>2e</w:t>
      </w:r>
      <w:r w:rsidRPr="006C5CA5">
        <w:t>-Emissionen, bezogen auf die bisherigen Emissionen</w:t>
      </w:r>
      <w:r w:rsidR="00AB73E3">
        <w:t>,</w:t>
      </w:r>
      <w:r w:rsidRPr="006C5CA5">
        <w:t xml:space="preserve"> zu erreichen. Bei komplexen Gesamtmaßnahmen erfolgt die Förderung der </w:t>
      </w:r>
      <w:r w:rsidRPr="006C5CA5">
        <w:lastRenderedPageBreak/>
        <w:t>Planungskosten anteilig (im Sinne der klimabedingten Mehrkosten).</w:t>
      </w:r>
      <w:r w:rsidR="00E935F0" w:rsidRPr="006C5CA5">
        <w:t xml:space="preserve"> Der Planungskosten</w:t>
      </w:r>
      <w:r w:rsidR="000655D5">
        <w:t>-</w:t>
      </w:r>
      <w:r w:rsidR="00E935F0" w:rsidRPr="006C5CA5">
        <w:t>zuschuss kann maximal 5.000</w:t>
      </w:r>
      <w:r w:rsidR="00A41FBD">
        <w:t> </w:t>
      </w:r>
      <w:r w:rsidR="00E935F0" w:rsidRPr="006C5CA5">
        <w:t>€ betragen.</w:t>
      </w:r>
    </w:p>
    <w:p w14:paraId="14D01249" w14:textId="77777777" w:rsidR="002B3BF9" w:rsidRDefault="002B3BF9" w:rsidP="000655D5">
      <w:pPr>
        <w:pStyle w:val="Textbody"/>
        <w:tabs>
          <w:tab w:val="left" w:pos="1985"/>
        </w:tabs>
        <w:jc w:val="both"/>
      </w:pPr>
    </w:p>
    <w:p w14:paraId="6DC2B1ED" w14:textId="77777777" w:rsidR="00D5014F" w:rsidRPr="006C5CA5" w:rsidRDefault="00D5014F" w:rsidP="000655D5">
      <w:pPr>
        <w:pStyle w:val="Textbody"/>
        <w:tabs>
          <w:tab w:val="left" w:pos="1985"/>
        </w:tabs>
        <w:jc w:val="both"/>
      </w:pPr>
    </w:p>
    <w:p w14:paraId="57EE1DF2" w14:textId="143A887D" w:rsidR="002B3BF9" w:rsidRPr="006C5CA5" w:rsidRDefault="00F535B5" w:rsidP="000655D5">
      <w:pPr>
        <w:pStyle w:val="berschrift1"/>
        <w:numPr>
          <w:ilvl w:val="1"/>
          <w:numId w:val="38"/>
        </w:numPr>
        <w:tabs>
          <w:tab w:val="clear" w:pos="0"/>
        </w:tabs>
        <w:jc w:val="both"/>
      </w:pPr>
      <w:r w:rsidRPr="006C5CA5">
        <w:t>Förderung klimafreundlicher Heiztechnologie und energetischer Gebäude</w:t>
      </w:r>
      <w:r w:rsidR="000655D5">
        <w:t>-</w:t>
      </w:r>
      <w:r w:rsidRPr="006C5CA5">
        <w:t>sanierung</w:t>
      </w:r>
    </w:p>
    <w:p w14:paraId="64FFAE3E" w14:textId="77777777" w:rsidR="002B3BF9" w:rsidRPr="006C5CA5" w:rsidRDefault="002B3BF9" w:rsidP="000655D5">
      <w:pPr>
        <w:pStyle w:val="Textbody"/>
        <w:tabs>
          <w:tab w:val="left" w:pos="1985"/>
        </w:tabs>
        <w:spacing w:before="1"/>
        <w:jc w:val="both"/>
        <w:rPr>
          <w:highlight w:val="yellow"/>
        </w:rPr>
      </w:pPr>
    </w:p>
    <w:p w14:paraId="2A37D9BE" w14:textId="77777777" w:rsidR="00290B60" w:rsidRPr="006C5CA5" w:rsidRDefault="00F535B5" w:rsidP="000655D5">
      <w:pPr>
        <w:pStyle w:val="Textbody"/>
        <w:numPr>
          <w:ilvl w:val="0"/>
          <w:numId w:val="64"/>
        </w:numPr>
        <w:tabs>
          <w:tab w:val="left" w:pos="1985"/>
        </w:tabs>
        <w:ind w:right="191"/>
        <w:jc w:val="both"/>
      </w:pPr>
      <w:r w:rsidRPr="006C5CA5">
        <w:t>Der Austausch von Heizungsanlagen, die mit fossilen Brennstoffen betrieben werden, wird durch eine Mitfinanzierung beim Einbau einer klimafreundlichen Heizungstechnologie gefördert. Als klimafreundliche Heizungstechnologie gelten insbesondere</w:t>
      </w:r>
    </w:p>
    <w:p w14:paraId="136EBE05" w14:textId="77777777" w:rsidR="001A43B5" w:rsidRDefault="001A43B5" w:rsidP="000655D5">
      <w:pPr>
        <w:pStyle w:val="Textbody"/>
        <w:numPr>
          <w:ilvl w:val="1"/>
          <w:numId w:val="64"/>
        </w:numPr>
        <w:tabs>
          <w:tab w:val="left" w:pos="1985"/>
        </w:tabs>
        <w:ind w:right="191"/>
        <w:jc w:val="both"/>
      </w:pPr>
      <w:r>
        <w:t>bei Kirchen und Kapellen Sitzbankheizungen, die darauf ausgelegt sind, nur während der jeweiligen Veranstaltung genutzt zu werden, anstelle eines Heizsystems, das das gesamte Gebäude aufheizt;</w:t>
      </w:r>
    </w:p>
    <w:p w14:paraId="1A7C7181" w14:textId="2BA93150" w:rsidR="001A43B5" w:rsidRDefault="001A43B5" w:rsidP="000655D5">
      <w:pPr>
        <w:pStyle w:val="Textbody"/>
        <w:numPr>
          <w:ilvl w:val="1"/>
          <w:numId w:val="64"/>
        </w:numPr>
        <w:tabs>
          <w:tab w:val="left" w:pos="1985"/>
        </w:tabs>
        <w:ind w:right="191"/>
        <w:jc w:val="both"/>
      </w:pPr>
      <w:r>
        <w:t>der Bezug der Heizwärme über Wärmenetze, die ganz oder überwiegend mit erneuerbaren Energien betrieben werden oder nach der Planung zum Zeitpunkt der Antragstellung innerhalb von fünf Jahren darauf umgestellt werden;</w:t>
      </w:r>
    </w:p>
    <w:p w14:paraId="331B115E" w14:textId="17C686F0" w:rsidR="001A43B5" w:rsidRDefault="001A43B5" w:rsidP="000655D5">
      <w:pPr>
        <w:pStyle w:val="Textbody"/>
        <w:numPr>
          <w:ilvl w:val="1"/>
          <w:numId w:val="64"/>
        </w:numPr>
        <w:tabs>
          <w:tab w:val="left" w:pos="1985"/>
        </w:tabs>
        <w:ind w:right="191"/>
        <w:jc w:val="both"/>
      </w:pPr>
      <w:r>
        <w:t>Solarthermie- und Photovoltaikanlagen;</w:t>
      </w:r>
    </w:p>
    <w:p w14:paraId="30762322" w14:textId="2DB49122" w:rsidR="001A43B5" w:rsidRDefault="001A43B5" w:rsidP="000655D5">
      <w:pPr>
        <w:pStyle w:val="Textbody"/>
        <w:numPr>
          <w:ilvl w:val="1"/>
          <w:numId w:val="64"/>
        </w:numPr>
        <w:tabs>
          <w:tab w:val="left" w:pos="1985"/>
        </w:tabs>
        <w:ind w:right="191"/>
        <w:jc w:val="both"/>
      </w:pPr>
      <w:r>
        <w:t>Wärmepumpen in Kombination mit der Nutzung von Umweltenergien und Ökostrom;</w:t>
      </w:r>
    </w:p>
    <w:p w14:paraId="22FDF68D" w14:textId="4243C531" w:rsidR="002B3BF9" w:rsidRPr="006C5CA5" w:rsidRDefault="001A43B5" w:rsidP="000655D5">
      <w:pPr>
        <w:pStyle w:val="Textbody"/>
        <w:numPr>
          <w:ilvl w:val="1"/>
          <w:numId w:val="64"/>
        </w:numPr>
        <w:tabs>
          <w:tab w:val="left" w:pos="1985"/>
        </w:tabs>
        <w:ind w:right="191"/>
        <w:jc w:val="both"/>
      </w:pPr>
      <w:r>
        <w:t>sofern die nach Ziffer a bis d genannten Technologien technisch nicht umsetzbar sind: Pelletheizungen, Holzhackschnitzel- und Scheitholzkessel oder Nutzung anderer nachwachsender Rohstoffe.</w:t>
      </w:r>
    </w:p>
    <w:p w14:paraId="03E83F97" w14:textId="77777777" w:rsidR="002B3BF9" w:rsidRPr="006C5CA5" w:rsidRDefault="002B3BF9" w:rsidP="000655D5">
      <w:pPr>
        <w:pStyle w:val="Textbody"/>
        <w:tabs>
          <w:tab w:val="left" w:pos="1985"/>
        </w:tabs>
        <w:ind w:right="191"/>
        <w:jc w:val="both"/>
      </w:pPr>
    </w:p>
    <w:p w14:paraId="7FDC3874" w14:textId="510E5635" w:rsidR="002B3BF9" w:rsidRPr="006C5CA5" w:rsidRDefault="00F535B5" w:rsidP="000655D5">
      <w:pPr>
        <w:pStyle w:val="Textbody"/>
        <w:numPr>
          <w:ilvl w:val="0"/>
          <w:numId w:val="64"/>
        </w:numPr>
        <w:tabs>
          <w:tab w:val="left" w:pos="1985"/>
        </w:tabs>
        <w:ind w:right="191"/>
        <w:jc w:val="both"/>
      </w:pPr>
      <w:r w:rsidRPr="006C5CA5">
        <w:t>Die energetische Sanierung von Gebäuden mit dem Ziel, einen Niedrigenergie- oder Passivhausstandard zu erreichen, ist förderfähig. Auch Ersatzneubauten oder Einzelmaßnamen, die zur Verringerung der durch den Gebäudeenergiebedarf verursachten Treibhausgasemissionen beitragen und den genannten Standard zum Ziel haben, sind förderfähig. Als zu erreichender Standard</w:t>
      </w:r>
      <w:r w:rsidR="00191A72">
        <w:rPr>
          <w:rStyle w:val="Funotenzeichen"/>
        </w:rPr>
        <w:footnoteReference w:id="5"/>
      </w:r>
      <w:r w:rsidRPr="006C5CA5">
        <w:t xml:space="preserve"> wird festgelegt:</w:t>
      </w:r>
    </w:p>
    <w:p w14:paraId="3E6EA79C" w14:textId="14D5A028" w:rsidR="002B3BF9" w:rsidRPr="006C5CA5" w:rsidRDefault="00F535B5" w:rsidP="000655D5">
      <w:pPr>
        <w:pStyle w:val="Textbody"/>
        <w:numPr>
          <w:ilvl w:val="1"/>
          <w:numId w:val="64"/>
        </w:numPr>
        <w:tabs>
          <w:tab w:val="left" w:pos="1985"/>
        </w:tabs>
        <w:ind w:right="191"/>
        <w:jc w:val="both"/>
      </w:pPr>
      <w:r w:rsidRPr="006C5CA5">
        <w:t>Bestandsgebäude</w:t>
      </w:r>
      <w:r w:rsidR="00AB73E3">
        <w:t>,</w:t>
      </w:r>
      <w:r w:rsidRPr="006C5CA5">
        <w:t xml:space="preserve"> die nicht unter den Denkmalschutz fallen, müssen den für Neubauten definierten Standard der Energieeinsparverordnung (EnEV) von 2016 erfüllen;</w:t>
      </w:r>
    </w:p>
    <w:p w14:paraId="3620F40C" w14:textId="626DED0E" w:rsidR="002B3BF9" w:rsidRPr="006C5CA5" w:rsidRDefault="00F535B5" w:rsidP="000655D5">
      <w:pPr>
        <w:pStyle w:val="Textbody"/>
        <w:numPr>
          <w:ilvl w:val="1"/>
          <w:numId w:val="64"/>
        </w:numPr>
        <w:tabs>
          <w:tab w:val="left" w:pos="1985"/>
        </w:tabs>
        <w:ind w:right="191"/>
        <w:jc w:val="both"/>
      </w:pPr>
      <w:r w:rsidRPr="006C5CA5">
        <w:t>Bestandsgebäude</w:t>
      </w:r>
      <w:r w:rsidR="00AB73E3">
        <w:t>,</w:t>
      </w:r>
      <w:r w:rsidRPr="006C5CA5">
        <w:t xml:space="preserve"> die unter den Denkmalschutz fallen, müssen den für das Referenzgebäude definierten Standard der Energieeinsparverordnung (EnEV) von 2016 zuzüglich 60</w:t>
      </w:r>
      <w:r w:rsidR="00134130">
        <w:t> </w:t>
      </w:r>
      <w:r w:rsidRPr="006C5CA5">
        <w:t>% beim Primärenergiebedarf beziehungs</w:t>
      </w:r>
      <w:r w:rsidR="000655D5">
        <w:t>-</w:t>
      </w:r>
      <w:r w:rsidRPr="006C5CA5">
        <w:t>weise 75</w:t>
      </w:r>
      <w:r w:rsidR="00134130">
        <w:t> </w:t>
      </w:r>
      <w:r w:rsidRPr="006C5CA5">
        <w:t>% bei den Transmissionswärmeverlusten erfüllen;</w:t>
      </w:r>
    </w:p>
    <w:p w14:paraId="293F4B2D" w14:textId="29DABE4B" w:rsidR="002B3BF9" w:rsidRPr="006C5CA5" w:rsidRDefault="00F535B5" w:rsidP="000655D5">
      <w:pPr>
        <w:pStyle w:val="Textbody"/>
        <w:numPr>
          <w:ilvl w:val="1"/>
          <w:numId w:val="64"/>
        </w:numPr>
        <w:tabs>
          <w:tab w:val="left" w:pos="1985"/>
        </w:tabs>
        <w:ind w:right="191"/>
        <w:jc w:val="both"/>
      </w:pPr>
      <w:r w:rsidRPr="006C5CA5">
        <w:t>Neubauten müssen als Passivhäuser ausgeführt werden und sollten in der Regel keine klassische, wassergeführte Gebäudeheizung benötigen. Der maximale Heizwärmebedarf darf 15</w:t>
      </w:r>
      <w:r w:rsidR="00134130">
        <w:t> </w:t>
      </w:r>
      <w:r w:rsidRPr="006C5CA5">
        <w:t>kWh/(m²∙a), der maximale Primär</w:t>
      </w:r>
      <w:r w:rsidR="000655D5">
        <w:t>-</w:t>
      </w:r>
      <w:proofErr w:type="spellStart"/>
      <w:r w:rsidRPr="006C5CA5">
        <w:t>energiebedarf</w:t>
      </w:r>
      <w:proofErr w:type="spellEnd"/>
      <w:r w:rsidRPr="006C5CA5">
        <w:t xml:space="preserve"> inkl. Haushaltsstrom darf 120</w:t>
      </w:r>
      <w:r w:rsidR="00134130">
        <w:t> </w:t>
      </w:r>
      <w:r w:rsidRPr="006C5CA5">
        <w:t>kWh/(m²∙a) nicht überschreiten.</w:t>
      </w:r>
    </w:p>
    <w:p w14:paraId="5FBE0719" w14:textId="77777777" w:rsidR="003A4C43" w:rsidRPr="006C5CA5" w:rsidRDefault="003A4C43" w:rsidP="000655D5">
      <w:pPr>
        <w:pStyle w:val="Textbody"/>
        <w:tabs>
          <w:tab w:val="left" w:pos="1985"/>
        </w:tabs>
        <w:ind w:right="191"/>
        <w:jc w:val="both"/>
      </w:pPr>
    </w:p>
    <w:p w14:paraId="7C33B684" w14:textId="5A80FD44" w:rsidR="002B3BF9" w:rsidRPr="006C5CA5" w:rsidRDefault="00F535B5" w:rsidP="000655D5">
      <w:pPr>
        <w:pStyle w:val="Textbody"/>
        <w:tabs>
          <w:tab w:val="left" w:pos="1985"/>
        </w:tabs>
        <w:ind w:right="191"/>
        <w:jc w:val="both"/>
      </w:pPr>
      <w:r w:rsidRPr="006C5CA5">
        <w:t xml:space="preserve">Die Förderung soll die </w:t>
      </w:r>
      <w:r w:rsidR="00682CCF">
        <w:t>klimabedingten Mehrkosten (</w:t>
      </w:r>
      <w:r w:rsidRPr="006C5CA5">
        <w:t>Bau- und Planungsmehrkosten</w:t>
      </w:r>
      <w:r w:rsidR="00682CCF">
        <w:t>)</w:t>
      </w:r>
      <w:r w:rsidRPr="006C5CA5">
        <w:t xml:space="preserve"> auf Grund des Einsatzes der klimafreundlichen Technologie oder Bauweise gegenüber einer zulässigen, baufachlich sinnvollen, konventionellen Technologie abdecken und kann bis zu 100</w:t>
      </w:r>
      <w:r w:rsidR="00134130">
        <w:t> </w:t>
      </w:r>
      <w:r w:rsidRPr="006C5CA5">
        <w:t>% dieser Mehrkosten betragen.</w:t>
      </w:r>
    </w:p>
    <w:p w14:paraId="66EDD67E" w14:textId="77777777" w:rsidR="002B3BF9" w:rsidRPr="006C5CA5" w:rsidRDefault="002B3BF9" w:rsidP="000655D5">
      <w:pPr>
        <w:pStyle w:val="Textbody"/>
        <w:tabs>
          <w:tab w:val="left" w:pos="1985"/>
        </w:tabs>
        <w:jc w:val="both"/>
        <w:rPr>
          <w:highlight w:val="yellow"/>
        </w:rPr>
      </w:pPr>
    </w:p>
    <w:p w14:paraId="4D4A9962" w14:textId="77777777" w:rsidR="002B3BF9" w:rsidRPr="006C5CA5" w:rsidRDefault="00F535B5" w:rsidP="000655D5">
      <w:pPr>
        <w:tabs>
          <w:tab w:val="left" w:pos="1917"/>
          <w:tab w:val="left" w:pos="1985"/>
        </w:tabs>
        <w:ind w:right="110"/>
        <w:jc w:val="both"/>
        <w:rPr>
          <w:highlight w:val="yellow"/>
        </w:rPr>
      </w:pPr>
      <w:r w:rsidRPr="006C5CA5">
        <w:t>Die Förderung setzt weiterhin voraus, dass</w:t>
      </w:r>
    </w:p>
    <w:p w14:paraId="2EBCBC29" w14:textId="21B018A4" w:rsidR="003A4C43" w:rsidRPr="006C5CA5" w:rsidRDefault="00F535B5" w:rsidP="000655D5">
      <w:pPr>
        <w:pStyle w:val="Textbody"/>
        <w:numPr>
          <w:ilvl w:val="0"/>
          <w:numId w:val="65"/>
        </w:numPr>
        <w:tabs>
          <w:tab w:val="left" w:pos="1985"/>
        </w:tabs>
        <w:ind w:right="191"/>
        <w:jc w:val="both"/>
      </w:pPr>
      <w:r w:rsidRPr="006C5CA5">
        <w:t>der wirtschaftliche Wert des Gebäudes, die voraussichtliche Nutzungsintensität und die zu erreichenden Einsparungen an Treibhausgasemissionen nicht im offen</w:t>
      </w:r>
      <w:r w:rsidR="000655D5">
        <w:t>-</w:t>
      </w:r>
      <w:r w:rsidRPr="006C5CA5">
        <w:t>sichtlichen Missverhältnis zur Höhe der Förderung stehen.</w:t>
      </w:r>
    </w:p>
    <w:p w14:paraId="72D953C8" w14:textId="47C312AC" w:rsidR="002B3BF9" w:rsidRPr="006C5CA5" w:rsidRDefault="00F535B5" w:rsidP="000655D5">
      <w:pPr>
        <w:pStyle w:val="Textbody"/>
        <w:numPr>
          <w:ilvl w:val="0"/>
          <w:numId w:val="65"/>
        </w:numPr>
        <w:tabs>
          <w:tab w:val="left" w:pos="1985"/>
        </w:tabs>
        <w:ind w:right="191"/>
        <w:jc w:val="both"/>
      </w:pPr>
      <w:r w:rsidRPr="006C5CA5">
        <w:t>die Kosten der Maßnahmen nicht im offensichtlichen Missverhältnis zur Höhe der einzusparenden Treibhausgase stehen. Als Richtwerte seien folgende Treibhaus</w:t>
      </w:r>
      <w:r w:rsidR="000655D5">
        <w:t>-</w:t>
      </w:r>
      <w:r w:rsidRPr="006C5CA5">
        <w:t>gasvermeidungskosten beispielhaft genannt:</w:t>
      </w:r>
    </w:p>
    <w:p w14:paraId="167019A4" w14:textId="43A7E5BD" w:rsidR="002B3BF9" w:rsidRPr="006C5CA5" w:rsidRDefault="00F535B5" w:rsidP="000655D5">
      <w:pPr>
        <w:pStyle w:val="Textbody"/>
        <w:numPr>
          <w:ilvl w:val="1"/>
          <w:numId w:val="65"/>
        </w:numPr>
        <w:tabs>
          <w:tab w:val="left" w:pos="1985"/>
        </w:tabs>
        <w:ind w:right="191"/>
        <w:jc w:val="both"/>
      </w:pPr>
      <w:r w:rsidRPr="006C5CA5">
        <w:lastRenderedPageBreak/>
        <w:t xml:space="preserve">Stilllegung der vorhandenen Heizungsanlage in Kirchen oder Kapellen und Umstellung auf elektrische Sitzbankheizungen: </w:t>
      </w:r>
      <w:r w:rsidR="00E75089" w:rsidRPr="006C5CA5">
        <w:t>75</w:t>
      </w:r>
      <w:r w:rsidR="000655D5">
        <w:t> </w:t>
      </w:r>
      <w:r w:rsidRPr="006C5CA5">
        <w:t>€ pro eingesparte Tonne CO</w:t>
      </w:r>
      <w:r w:rsidRPr="0053176A">
        <w:rPr>
          <w:vertAlign w:val="subscript"/>
        </w:rPr>
        <w:t>2e</w:t>
      </w:r>
      <w:r w:rsidRPr="006C5CA5">
        <w:t>.</w:t>
      </w:r>
    </w:p>
    <w:p w14:paraId="65947753" w14:textId="758B449C" w:rsidR="002B3BF9" w:rsidRPr="006C5CA5" w:rsidRDefault="00F535B5" w:rsidP="000655D5">
      <w:pPr>
        <w:pStyle w:val="Textbody"/>
        <w:numPr>
          <w:ilvl w:val="1"/>
          <w:numId w:val="65"/>
        </w:numPr>
        <w:tabs>
          <w:tab w:val="left" w:pos="1985"/>
        </w:tabs>
        <w:ind w:right="191"/>
        <w:jc w:val="both"/>
      </w:pPr>
      <w:r w:rsidRPr="006C5CA5">
        <w:t xml:space="preserve">Ersatz einer vorhandenen fossilen Heizung durch eine Heizung auf Basis nachwachsender Rohstoffe oder </w:t>
      </w:r>
      <w:r w:rsidR="00AB73E3">
        <w:t>den</w:t>
      </w:r>
      <w:r w:rsidR="0053176A">
        <w:t xml:space="preserve"> Einsatz einer</w:t>
      </w:r>
      <w:r w:rsidRPr="006C5CA5">
        <w:t xml:space="preserve"> Luftwärmepumpe: 1</w:t>
      </w:r>
      <w:r w:rsidR="00E75089" w:rsidRPr="006C5CA5">
        <w:t>5</w:t>
      </w:r>
      <w:r w:rsidRPr="006C5CA5">
        <w:t>0</w:t>
      </w:r>
      <w:r w:rsidR="000655D5">
        <w:t> </w:t>
      </w:r>
      <w:r w:rsidRPr="006C5CA5">
        <w:t>€ pro eingesparte Tonne CO</w:t>
      </w:r>
      <w:r w:rsidRPr="0053176A">
        <w:rPr>
          <w:vertAlign w:val="subscript"/>
        </w:rPr>
        <w:t>2e</w:t>
      </w:r>
      <w:r w:rsidRPr="006C5CA5">
        <w:t>;</w:t>
      </w:r>
    </w:p>
    <w:p w14:paraId="0BB2A7B0" w14:textId="132CC0D0" w:rsidR="002B3BF9" w:rsidRPr="006C5CA5" w:rsidRDefault="00F535B5" w:rsidP="000655D5">
      <w:pPr>
        <w:pStyle w:val="Textbody"/>
        <w:numPr>
          <w:ilvl w:val="1"/>
          <w:numId w:val="65"/>
        </w:numPr>
        <w:tabs>
          <w:tab w:val="left" w:pos="1985"/>
        </w:tabs>
        <w:ind w:right="191"/>
        <w:jc w:val="both"/>
      </w:pPr>
      <w:r w:rsidRPr="006C5CA5">
        <w:t xml:space="preserve">Ersatz einer vorhandenen fossilen Heizung durch eine </w:t>
      </w:r>
      <w:r w:rsidR="00FF510A" w:rsidRPr="006C5CA5">
        <w:t>Wärmepumpe</w:t>
      </w:r>
      <w:r w:rsidR="004B2A78" w:rsidRPr="006C5CA5">
        <w:t>n</w:t>
      </w:r>
      <w:r w:rsidR="000655D5">
        <w:t>-</w:t>
      </w:r>
      <w:r w:rsidR="004B2A78" w:rsidRPr="006C5CA5">
        <w:t>heizung</w:t>
      </w:r>
      <w:r w:rsidR="00FF510A" w:rsidRPr="006C5CA5">
        <w:t xml:space="preserve"> </w:t>
      </w:r>
      <w:r w:rsidRPr="006C5CA5">
        <w:t>auf Basis Geothermie</w:t>
      </w:r>
      <w:r w:rsidR="00FF510A" w:rsidRPr="006C5CA5">
        <w:t>:</w:t>
      </w:r>
      <w:r w:rsidR="003A4C43" w:rsidRPr="006C5CA5">
        <w:t xml:space="preserve"> </w:t>
      </w:r>
      <w:r w:rsidR="00E75089" w:rsidRPr="006C5CA5">
        <w:t>3</w:t>
      </w:r>
      <w:r w:rsidRPr="006C5CA5">
        <w:t>00</w:t>
      </w:r>
      <w:r w:rsidR="000655D5">
        <w:t> </w:t>
      </w:r>
      <w:r w:rsidRPr="006C5CA5">
        <w:t>€ pro eingesparte Tonne CO</w:t>
      </w:r>
      <w:r w:rsidRPr="0053176A">
        <w:rPr>
          <w:vertAlign w:val="subscript"/>
        </w:rPr>
        <w:t>2e</w:t>
      </w:r>
      <w:r w:rsidRPr="006C5CA5">
        <w:t>;</w:t>
      </w:r>
    </w:p>
    <w:p w14:paraId="5FD7BA11" w14:textId="7BAE2257" w:rsidR="00FF510A" w:rsidRPr="006C5CA5" w:rsidRDefault="00FF510A" w:rsidP="000655D5">
      <w:pPr>
        <w:pStyle w:val="Textbody"/>
        <w:numPr>
          <w:ilvl w:val="1"/>
          <w:numId w:val="65"/>
        </w:numPr>
        <w:tabs>
          <w:tab w:val="left" w:pos="1985"/>
        </w:tabs>
        <w:ind w:right="191"/>
        <w:jc w:val="both"/>
      </w:pPr>
      <w:r w:rsidRPr="006C5CA5">
        <w:t>Hybridheizungen we</w:t>
      </w:r>
      <w:r w:rsidR="004B2A78" w:rsidRPr="006C5CA5">
        <w:t>r</w:t>
      </w:r>
      <w:r w:rsidRPr="006C5CA5">
        <w:t xml:space="preserve">den gemäß </w:t>
      </w:r>
      <w:r w:rsidR="003A4C43" w:rsidRPr="006C5CA5">
        <w:t>b</w:t>
      </w:r>
      <w:r w:rsidRPr="006C5CA5">
        <w:t xml:space="preserve"> </w:t>
      </w:r>
      <w:r w:rsidR="003A4C43" w:rsidRPr="006C5CA5">
        <w:t>u</w:t>
      </w:r>
      <w:r w:rsidRPr="006C5CA5">
        <w:t xml:space="preserve">nd </w:t>
      </w:r>
      <w:r w:rsidR="003A4C43" w:rsidRPr="006C5CA5">
        <w:t>c</w:t>
      </w:r>
      <w:r w:rsidRPr="006C5CA5">
        <w:t xml:space="preserve"> anteilig gefördert</w:t>
      </w:r>
      <w:r w:rsidR="000655D5">
        <w:t>;</w:t>
      </w:r>
    </w:p>
    <w:p w14:paraId="720A01AE" w14:textId="5BBDF771" w:rsidR="002B3BF9" w:rsidRPr="006C5CA5" w:rsidRDefault="00F535B5" w:rsidP="000655D5">
      <w:pPr>
        <w:pStyle w:val="Textbody"/>
        <w:numPr>
          <w:ilvl w:val="1"/>
          <w:numId w:val="65"/>
        </w:numPr>
        <w:tabs>
          <w:tab w:val="left" w:pos="1985"/>
        </w:tabs>
        <w:ind w:right="191"/>
        <w:jc w:val="both"/>
      </w:pPr>
      <w:r w:rsidRPr="006C5CA5">
        <w:t xml:space="preserve">Umfängliche energetische Gebäudesanierung </w:t>
      </w:r>
      <w:r w:rsidR="004B2A78" w:rsidRPr="006C5CA5">
        <w:t>insbesondere im denkmal</w:t>
      </w:r>
      <w:r w:rsidR="000655D5">
        <w:t>-</w:t>
      </w:r>
      <w:r w:rsidR="004B2A78" w:rsidRPr="006C5CA5">
        <w:t xml:space="preserve">geschützten Bestand </w:t>
      </w:r>
      <w:r w:rsidRPr="006C5CA5">
        <w:t xml:space="preserve">(z.B. Fassadendämmung, Fenstererneuerung, etc.): </w:t>
      </w:r>
      <w:r w:rsidR="004B2A78" w:rsidRPr="006C5CA5">
        <w:t>5</w:t>
      </w:r>
      <w:r w:rsidRPr="006C5CA5">
        <w:t>00</w:t>
      </w:r>
      <w:r w:rsidR="000655D5">
        <w:t> </w:t>
      </w:r>
      <w:r w:rsidRPr="006C5CA5">
        <w:t>€ pro eingesparte Tonne CO</w:t>
      </w:r>
      <w:r w:rsidRPr="0053176A">
        <w:rPr>
          <w:vertAlign w:val="subscript"/>
        </w:rPr>
        <w:t>2e</w:t>
      </w:r>
      <w:r w:rsidRPr="006C5CA5">
        <w:t>;</w:t>
      </w:r>
    </w:p>
    <w:p w14:paraId="04EF5272" w14:textId="455775C1" w:rsidR="002B3BF9" w:rsidRPr="006C5CA5" w:rsidRDefault="00F535B5" w:rsidP="000655D5">
      <w:pPr>
        <w:pStyle w:val="Textbody"/>
        <w:numPr>
          <w:ilvl w:val="0"/>
          <w:numId w:val="65"/>
        </w:numPr>
        <w:tabs>
          <w:tab w:val="left" w:pos="1985"/>
        </w:tabs>
        <w:ind w:right="191"/>
        <w:jc w:val="both"/>
      </w:pPr>
      <w:r w:rsidRPr="006C5CA5">
        <w:t xml:space="preserve">die Förderung nicht im Widerspruch zur </w:t>
      </w:r>
      <w:r w:rsidRPr="00AC77DE">
        <w:t>Gebäudeplanung</w:t>
      </w:r>
      <w:r w:rsidRPr="006C5CA5">
        <w:t xml:space="preserve"> des Kirchenkreises nach §</w:t>
      </w:r>
      <w:r w:rsidR="000655D5">
        <w:t> </w:t>
      </w:r>
      <w:r w:rsidRPr="006C5CA5">
        <w:t>8 Kirchenbaugesetz</w:t>
      </w:r>
      <w:r w:rsidR="00C0161F">
        <w:t xml:space="preserve"> (</w:t>
      </w:r>
      <w:hyperlink r:id="rId9" w:history="1">
        <w:r w:rsidR="000655D5" w:rsidRPr="00205828">
          <w:rPr>
            <w:rStyle w:val="Hyperlink"/>
          </w:rPr>
          <w:t>https://www.kirchenrecht-ekbo.de/document/79</w:t>
        </w:r>
      </w:hyperlink>
      <w:r w:rsidR="00C0161F">
        <w:t>)</w:t>
      </w:r>
      <w:r w:rsidR="000655D5">
        <w:t xml:space="preserve"> </w:t>
      </w:r>
      <w:r w:rsidRPr="006C5CA5">
        <w:t>steht;</w:t>
      </w:r>
    </w:p>
    <w:p w14:paraId="6C3A97FC" w14:textId="77777777" w:rsidR="002B3BF9" w:rsidRPr="006C5CA5" w:rsidRDefault="00F535B5" w:rsidP="000655D5">
      <w:pPr>
        <w:pStyle w:val="Textbody"/>
        <w:numPr>
          <w:ilvl w:val="0"/>
          <w:numId w:val="65"/>
        </w:numPr>
        <w:tabs>
          <w:tab w:val="left" w:pos="1985"/>
        </w:tabs>
        <w:ind w:right="191"/>
        <w:jc w:val="both"/>
      </w:pPr>
      <w:r w:rsidRPr="006C5CA5">
        <w:t>bei kirchengemeindlichen Bauvorhaben der Kirchenkreis der Maßnahme zustimmt,</w:t>
      </w:r>
    </w:p>
    <w:p w14:paraId="1EE57DB5" w14:textId="77777777" w:rsidR="002B3BF9" w:rsidRPr="006C5CA5" w:rsidRDefault="00F535B5" w:rsidP="000655D5">
      <w:pPr>
        <w:pStyle w:val="Textbody"/>
        <w:numPr>
          <w:ilvl w:val="0"/>
          <w:numId w:val="65"/>
        </w:numPr>
        <w:tabs>
          <w:tab w:val="left" w:pos="1985"/>
        </w:tabs>
        <w:ind w:right="191"/>
        <w:jc w:val="both"/>
      </w:pPr>
      <w:r w:rsidRPr="006C5CA5">
        <w:t>das Gebäude der Pflicht zur Entrichtung der Klimaschutzabgabe nach KlSchG unterliegt;</w:t>
      </w:r>
    </w:p>
    <w:p w14:paraId="749CA840" w14:textId="77777777" w:rsidR="003A4C43" w:rsidRPr="006C5CA5" w:rsidRDefault="00F535B5" w:rsidP="000655D5">
      <w:pPr>
        <w:pStyle w:val="Textbody"/>
        <w:numPr>
          <w:ilvl w:val="0"/>
          <w:numId w:val="65"/>
        </w:numPr>
        <w:tabs>
          <w:tab w:val="left" w:pos="1985"/>
        </w:tabs>
        <w:ind w:right="191"/>
        <w:jc w:val="both"/>
      </w:pPr>
      <w:r w:rsidRPr="006C5CA5">
        <w:t>Mittel für das betroffene Haushaltsjahr zur Verfügung stehen;</w:t>
      </w:r>
    </w:p>
    <w:p w14:paraId="102FC821" w14:textId="6CBA6ABF" w:rsidR="002B3BF9" w:rsidRPr="006C5CA5" w:rsidRDefault="00F535B5" w:rsidP="000655D5">
      <w:pPr>
        <w:pStyle w:val="Textbody"/>
        <w:numPr>
          <w:ilvl w:val="0"/>
          <w:numId w:val="65"/>
        </w:numPr>
        <w:tabs>
          <w:tab w:val="left" w:pos="1985"/>
        </w:tabs>
        <w:ind w:right="191"/>
        <w:jc w:val="both"/>
      </w:pPr>
      <w:r w:rsidRPr="006C5CA5">
        <w:t>verfügbare Fördermittel des Bundes und des jeweiligen Bundeslandes ergänzend in Anspruch genommen werden. Möglicherweise zur Verfügung stehende EU-</w:t>
      </w:r>
      <w:r w:rsidR="00682CCF">
        <w:t>Förderm</w:t>
      </w:r>
      <w:r w:rsidRPr="006C5CA5">
        <w:t>ittel sind hier ausgenommen</w:t>
      </w:r>
      <w:r w:rsidR="002E0626">
        <w:t xml:space="preserve">, sollten aber </w:t>
      </w:r>
      <w:r w:rsidR="00682CCF">
        <w:t>wenn möglich</w:t>
      </w:r>
      <w:r w:rsidR="002E0626">
        <w:t xml:space="preserve"> in Anspruch genommen werden</w:t>
      </w:r>
      <w:r w:rsidRPr="006C5CA5">
        <w:t>.</w:t>
      </w:r>
    </w:p>
    <w:p w14:paraId="141D59C1" w14:textId="77777777" w:rsidR="002B3BF9" w:rsidRPr="006C5CA5" w:rsidRDefault="00F535B5" w:rsidP="000655D5">
      <w:pPr>
        <w:pStyle w:val="berschrift1"/>
        <w:numPr>
          <w:ilvl w:val="0"/>
          <w:numId w:val="20"/>
        </w:numPr>
        <w:tabs>
          <w:tab w:val="clear" w:pos="0"/>
        </w:tabs>
        <w:spacing w:before="205"/>
        <w:jc w:val="both"/>
      </w:pPr>
      <w:r w:rsidRPr="006C5CA5">
        <w:t>Auszahlung</w:t>
      </w:r>
    </w:p>
    <w:p w14:paraId="45090AB1" w14:textId="77777777" w:rsidR="002B3BF9" w:rsidRPr="00D5014F" w:rsidRDefault="002B3BF9" w:rsidP="000655D5">
      <w:pPr>
        <w:pStyle w:val="Textbody"/>
        <w:tabs>
          <w:tab w:val="left" w:pos="1985"/>
        </w:tabs>
        <w:spacing w:before="3"/>
        <w:jc w:val="both"/>
      </w:pPr>
    </w:p>
    <w:p w14:paraId="06EC1061" w14:textId="4607139F" w:rsidR="002B3BF9" w:rsidRPr="006C5CA5" w:rsidRDefault="00F535B5" w:rsidP="000655D5">
      <w:pPr>
        <w:pStyle w:val="Textbody"/>
        <w:tabs>
          <w:tab w:val="left" w:pos="1985"/>
        </w:tabs>
        <w:ind w:right="113"/>
        <w:jc w:val="both"/>
      </w:pPr>
      <w:r w:rsidRPr="006C5CA5">
        <w:t>Der bewilligte Zuschuss ist an den Finanzierungsplan, der der Bewilligung zugrunde liegt</w:t>
      </w:r>
      <w:r w:rsidR="00C51BBD">
        <w:t>,</w:t>
      </w:r>
      <w:r w:rsidR="000655D5">
        <w:t xml:space="preserve"> gebunden</w:t>
      </w:r>
      <w:r w:rsidRPr="006C5CA5">
        <w:t>.</w:t>
      </w:r>
    </w:p>
    <w:p w14:paraId="27D5665E" w14:textId="7ECB4A0E" w:rsidR="002B3BF9" w:rsidRPr="006C5CA5" w:rsidRDefault="00F535B5" w:rsidP="000655D5">
      <w:pPr>
        <w:pStyle w:val="Textbody"/>
        <w:tabs>
          <w:tab w:val="left" w:pos="1985"/>
        </w:tabs>
        <w:ind w:right="113"/>
        <w:jc w:val="both"/>
      </w:pPr>
      <w:r w:rsidRPr="006C5CA5">
        <w:t xml:space="preserve">Nach </w:t>
      </w:r>
      <w:r w:rsidR="00C0161F">
        <w:t>Durchführung</w:t>
      </w:r>
      <w:r w:rsidR="00C0161F" w:rsidRPr="006C5CA5">
        <w:t xml:space="preserve"> </w:t>
      </w:r>
      <w:r w:rsidRPr="006C5CA5">
        <w:t>der Maßnahme wird der Zuschuss auf Antrag ausgezahlt. Zur Abforderung ist ein Verwendungsnachweis vorzulegen, m</w:t>
      </w:r>
      <w:r w:rsidR="00682CCF">
        <w:t>it einer Liste aller Rechnungen und</w:t>
      </w:r>
      <w:r w:rsidRPr="006C5CA5">
        <w:t xml:space="preserve"> einer Kopie des Sachbuchauszuges als Zahlungsnachweis.</w:t>
      </w:r>
    </w:p>
    <w:p w14:paraId="4F03D220" w14:textId="1827DA06" w:rsidR="0031549F" w:rsidRPr="006C5CA5" w:rsidRDefault="00F535B5" w:rsidP="000655D5">
      <w:pPr>
        <w:pStyle w:val="Textbody"/>
        <w:tabs>
          <w:tab w:val="left" w:pos="1985"/>
        </w:tabs>
        <w:spacing w:before="1"/>
        <w:ind w:right="115"/>
        <w:jc w:val="both"/>
      </w:pPr>
      <w:r w:rsidRPr="006C5CA5">
        <w:t>Der bewilligte Zuschuss ist ein Maximalbetrag. Höhere Gesamtkosten führen nicht zu einer Erhöhung. Verringern sich die Gesamtkosten für die beschriebenen und beantragten Bauleistungen, verringert sich der Zuschuss entsprechend.</w:t>
      </w:r>
    </w:p>
    <w:p w14:paraId="40B71B1C" w14:textId="0FB08482" w:rsidR="002B3BF9" w:rsidRPr="006C5CA5" w:rsidRDefault="00952417" w:rsidP="000655D5">
      <w:pPr>
        <w:pStyle w:val="berschrift1"/>
        <w:numPr>
          <w:ilvl w:val="0"/>
          <w:numId w:val="20"/>
        </w:numPr>
        <w:tabs>
          <w:tab w:val="clear" w:pos="0"/>
        </w:tabs>
        <w:spacing w:before="205"/>
        <w:jc w:val="both"/>
      </w:pPr>
      <w:r w:rsidRPr="006C5CA5">
        <w:t>Mitwirkungspflicht</w:t>
      </w:r>
    </w:p>
    <w:p w14:paraId="70927977" w14:textId="03DB509F" w:rsidR="002B3BF9" w:rsidRPr="006C5CA5" w:rsidRDefault="002B3BF9" w:rsidP="000655D5">
      <w:pPr>
        <w:pStyle w:val="Textbody"/>
        <w:tabs>
          <w:tab w:val="left" w:pos="1985"/>
        </w:tabs>
        <w:spacing w:before="1"/>
        <w:ind w:right="115"/>
        <w:jc w:val="both"/>
      </w:pPr>
    </w:p>
    <w:p w14:paraId="55C09C05" w14:textId="49FB8446" w:rsidR="002B3BF9" w:rsidRPr="006C5CA5" w:rsidRDefault="00F535B5" w:rsidP="000655D5">
      <w:pPr>
        <w:pStyle w:val="Textbody"/>
        <w:tabs>
          <w:tab w:val="left" w:pos="1985"/>
        </w:tabs>
        <w:ind w:right="111"/>
        <w:jc w:val="both"/>
      </w:pPr>
      <w:r w:rsidRPr="006C5CA5">
        <w:t>Der Kirchliche Rechnungshof der Evangelischen Kirche Berlin-Brandenb</w:t>
      </w:r>
      <w:r w:rsidR="00191A72">
        <w:t>urg-schlesische Oberlausitz ist</w:t>
      </w:r>
      <w:r w:rsidRPr="006C5CA5">
        <w:t xml:space="preserve"> berechtigt, auf der Grundlage des Rechnungsprüfungsgesetzes der Evangelischen Kirche Berlin-Brandenburg-schlesische Oberlausitz die bestimmungs</w:t>
      </w:r>
      <w:r w:rsidR="00191A72">
        <w:t>-</w:t>
      </w:r>
      <w:r w:rsidRPr="006C5CA5">
        <w:t>gemäß</w:t>
      </w:r>
      <w:r w:rsidR="00191A72">
        <w:t>e</w:t>
      </w:r>
      <w:r w:rsidRPr="006C5CA5">
        <w:t xml:space="preserve"> und wirtschaftliche Verwendung des Zuschusses vor Ort oder an seinem Sitz nachzuprüfen. Soweit er es für die Erfüllung des Prüfungszweckes für erforderlich hält, kann er die Prüfung auf die gesamte Haushalts- und Wirtschaftsführung des Empfängers erstrecken. Prüfungsberichte Dritter sind auf Verlangen vorzulegen.</w:t>
      </w:r>
    </w:p>
    <w:p w14:paraId="592E49ED" w14:textId="77777777" w:rsidR="002B3BF9" w:rsidRPr="006C5CA5" w:rsidRDefault="002B3BF9" w:rsidP="000655D5">
      <w:pPr>
        <w:pStyle w:val="Textbody"/>
        <w:tabs>
          <w:tab w:val="left" w:pos="1985"/>
        </w:tabs>
        <w:jc w:val="both"/>
      </w:pPr>
    </w:p>
    <w:p w14:paraId="5FD6E854" w14:textId="77777777" w:rsidR="002B3BF9" w:rsidRPr="006C5CA5" w:rsidRDefault="002B3BF9" w:rsidP="000655D5">
      <w:pPr>
        <w:pStyle w:val="Textbody"/>
        <w:tabs>
          <w:tab w:val="left" w:pos="1985"/>
        </w:tabs>
        <w:spacing w:before="1"/>
        <w:jc w:val="both"/>
      </w:pPr>
    </w:p>
    <w:p w14:paraId="529BD98C" w14:textId="74008552" w:rsidR="002B3BF9" w:rsidRPr="006C5CA5" w:rsidRDefault="00F535B5" w:rsidP="000655D5">
      <w:pPr>
        <w:pStyle w:val="Textbody"/>
        <w:tabs>
          <w:tab w:val="left" w:pos="1985"/>
        </w:tabs>
        <w:spacing w:before="1"/>
        <w:ind w:right="122"/>
        <w:jc w:val="both"/>
      </w:pPr>
      <w:r w:rsidRPr="006C5CA5">
        <w:t xml:space="preserve">Diese Förderrichtlinie tritt mit Wirkung zum </w:t>
      </w:r>
      <w:r w:rsidR="00682CCF" w:rsidRPr="00682CCF">
        <w:rPr>
          <w:i/>
        </w:rPr>
        <w:t>[</w:t>
      </w:r>
      <w:r w:rsidR="00682CCF">
        <w:rPr>
          <w:i/>
        </w:rPr>
        <w:t>Datum</w:t>
      </w:r>
      <w:r w:rsidR="00682CCF" w:rsidRPr="00682CCF">
        <w:rPr>
          <w:i/>
        </w:rPr>
        <w:t>]</w:t>
      </w:r>
      <w:r w:rsidR="00682CCF">
        <w:t xml:space="preserve"> in Kraft.</w:t>
      </w:r>
    </w:p>
    <w:p w14:paraId="3FF5B370" w14:textId="77777777" w:rsidR="002B3BF9" w:rsidRDefault="002B3BF9" w:rsidP="000655D5">
      <w:pPr>
        <w:pStyle w:val="Textbody"/>
        <w:tabs>
          <w:tab w:val="left" w:pos="1985"/>
        </w:tabs>
        <w:spacing w:before="1"/>
        <w:ind w:right="122"/>
        <w:jc w:val="both"/>
      </w:pPr>
    </w:p>
    <w:p w14:paraId="1BA0DEE8" w14:textId="77777777" w:rsidR="00682CCF" w:rsidRPr="006C5CA5" w:rsidRDefault="00682CCF" w:rsidP="000655D5">
      <w:pPr>
        <w:pStyle w:val="Textbody"/>
        <w:tabs>
          <w:tab w:val="left" w:pos="1985"/>
        </w:tabs>
        <w:spacing w:before="1"/>
        <w:ind w:right="122"/>
        <w:jc w:val="both"/>
      </w:pPr>
    </w:p>
    <w:p w14:paraId="4FF1B8E3" w14:textId="76966AB2" w:rsidR="002B3BF9" w:rsidRPr="006C5CA5" w:rsidRDefault="000655D5" w:rsidP="000655D5">
      <w:pPr>
        <w:pStyle w:val="Textbody"/>
        <w:tabs>
          <w:tab w:val="left" w:pos="1985"/>
        </w:tabs>
        <w:spacing w:before="1"/>
        <w:ind w:right="122"/>
        <w:jc w:val="both"/>
      </w:pPr>
      <w:r w:rsidRPr="000655D5">
        <w:rPr>
          <w:i/>
        </w:rPr>
        <w:t>[Ort]</w:t>
      </w:r>
      <w:r w:rsidR="00F535B5" w:rsidRPr="006C5CA5">
        <w:t xml:space="preserve">, den </w:t>
      </w:r>
      <w:r w:rsidR="00682CCF" w:rsidRPr="00682CCF">
        <w:rPr>
          <w:i/>
        </w:rPr>
        <w:t>[Datum]</w:t>
      </w:r>
    </w:p>
    <w:p w14:paraId="074EB735" w14:textId="77777777" w:rsidR="002B3BF9" w:rsidRPr="006C5CA5" w:rsidRDefault="002B3BF9" w:rsidP="000655D5">
      <w:pPr>
        <w:pStyle w:val="Textbody"/>
        <w:tabs>
          <w:tab w:val="left" w:pos="1985"/>
        </w:tabs>
        <w:jc w:val="both"/>
      </w:pPr>
    </w:p>
    <w:p w14:paraId="71D71E74" w14:textId="77777777" w:rsidR="002B3BF9" w:rsidRDefault="002B3BF9" w:rsidP="000655D5">
      <w:pPr>
        <w:pStyle w:val="Textbody"/>
        <w:tabs>
          <w:tab w:val="left" w:pos="1985"/>
        </w:tabs>
        <w:spacing w:before="10"/>
        <w:jc w:val="both"/>
      </w:pPr>
    </w:p>
    <w:p w14:paraId="64B83CCD" w14:textId="18889B59" w:rsidR="002B3BF9" w:rsidRPr="006C5CA5" w:rsidRDefault="00F535B5" w:rsidP="000655D5">
      <w:pPr>
        <w:pStyle w:val="Textbody"/>
        <w:jc w:val="both"/>
      </w:pPr>
      <w:r w:rsidRPr="006C5CA5">
        <w:t xml:space="preserve">gez. </w:t>
      </w:r>
      <w:r w:rsidR="000655D5" w:rsidRPr="000655D5">
        <w:rPr>
          <w:i/>
        </w:rPr>
        <w:t>[</w:t>
      </w:r>
      <w:proofErr w:type="spellStart"/>
      <w:r w:rsidR="000655D5" w:rsidRPr="000655D5">
        <w:rPr>
          <w:i/>
        </w:rPr>
        <w:t>Unterschriftsberechtigte</w:t>
      </w:r>
      <w:r w:rsidR="00C51BBD">
        <w:rPr>
          <w:i/>
        </w:rPr>
        <w:t>:</w:t>
      </w:r>
      <w:r w:rsidR="000655D5" w:rsidRPr="000655D5">
        <w:rPr>
          <w:i/>
        </w:rPr>
        <w:t>r</w:t>
      </w:r>
      <w:proofErr w:type="spellEnd"/>
      <w:r w:rsidR="000655D5" w:rsidRPr="000655D5">
        <w:rPr>
          <w:i/>
        </w:rPr>
        <w:t>]</w:t>
      </w:r>
    </w:p>
    <w:sectPr w:rsidR="002B3BF9" w:rsidRPr="006C5CA5" w:rsidSect="00C83D5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0" w:footer="0" w:gutter="0"/>
      <w:cols w:space="720"/>
      <w:formProt w:val="0"/>
      <w:docGrid w:linePitch="299" w:charSpace="409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9B9733" w15:done="0"/>
  <w15:commentEx w15:paraId="50F6CD21" w15:done="0"/>
  <w15:commentEx w15:paraId="0B69C006" w15:done="0"/>
  <w15:commentEx w15:paraId="50657C19" w15:done="0"/>
  <w15:commentEx w15:paraId="2951B551" w15:done="0"/>
  <w15:commentEx w15:paraId="445DF46B" w15:done="0"/>
  <w15:commentEx w15:paraId="32D36C68" w15:done="0"/>
  <w15:commentEx w15:paraId="15905524" w15:done="0"/>
  <w15:commentEx w15:paraId="699F2E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B1B15" w14:textId="77777777" w:rsidR="00431758" w:rsidRDefault="00431758">
      <w:r>
        <w:separator/>
      </w:r>
    </w:p>
  </w:endnote>
  <w:endnote w:type="continuationSeparator" w:id="0">
    <w:p w14:paraId="57528949" w14:textId="77777777" w:rsidR="00431758" w:rsidRDefault="0043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algun Gothic"/>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sc regular">
    <w:charset w:val="00"/>
    <w:family w:val="auto"/>
    <w:pitch w:val="default"/>
  </w:font>
  <w:font w:name="Noto Sans Devanagari">
    <w:altName w:val="Malgun Gothic"/>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57612" w14:textId="77777777" w:rsidR="008801AF" w:rsidRDefault="008801A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32E5" w14:textId="77777777" w:rsidR="008801AF" w:rsidRDefault="008801A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3EB6" w14:textId="77777777" w:rsidR="008801AF" w:rsidRDefault="008801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6EBF9" w14:textId="77777777" w:rsidR="00431758" w:rsidRDefault="00431758">
      <w:pPr>
        <w:rPr>
          <w:sz w:val="12"/>
        </w:rPr>
      </w:pPr>
    </w:p>
  </w:footnote>
  <w:footnote w:type="continuationSeparator" w:id="0">
    <w:p w14:paraId="686643D9" w14:textId="77777777" w:rsidR="00431758" w:rsidRDefault="00431758">
      <w:pPr>
        <w:rPr>
          <w:sz w:val="12"/>
        </w:rPr>
      </w:pPr>
    </w:p>
  </w:footnote>
  <w:footnote w:id="1">
    <w:p w14:paraId="118C5845" w14:textId="3ED9FDF3" w:rsidR="00415D30" w:rsidRDefault="00415D30">
      <w:pPr>
        <w:pStyle w:val="Funotentext"/>
      </w:pPr>
      <w:r>
        <w:rPr>
          <w:rStyle w:val="Funotenzeichen"/>
        </w:rPr>
        <w:footnoteRef/>
      </w:r>
      <w:r>
        <w:t xml:space="preserve"> </w:t>
      </w:r>
      <w:r w:rsidR="00AB3878" w:rsidRPr="003A4C43">
        <w:t>Die Treibhausgasvermeidungskosten ermitteln sich aus den klimabedingten Mehrkosten und der Summe der während der Lebensdauer der jeweiligen Bauteile eingesparten Treibhausgasemissionen.</w:t>
      </w:r>
      <w:r w:rsidR="00AB3878">
        <w:t xml:space="preserve"> </w:t>
      </w:r>
      <w:r w:rsidR="00191A72" w:rsidRPr="003A4C43">
        <w:t xml:space="preserve">Die Lebensdauer der Bauteile </w:t>
      </w:r>
      <w:r w:rsidR="00191A72">
        <w:t xml:space="preserve">kann </w:t>
      </w:r>
      <w:r w:rsidR="00191A72" w:rsidRPr="003A4C43">
        <w:t>hierbei pauschal mit 20 Jahren für technische Bauteile (z.B. Heizungserneuerung) und 40 Jahren für bauliche Maßnahmen (energetische Gebäudesanierung) angesetzt</w:t>
      </w:r>
      <w:r w:rsidR="00191A72">
        <w:t xml:space="preserve"> werden</w:t>
      </w:r>
      <w:r w:rsidR="00191A72" w:rsidRPr="003A4C43">
        <w:t xml:space="preserve">. Im Falle der Nutzung von Geothermie </w:t>
      </w:r>
      <w:r w:rsidR="00191A72">
        <w:t>kann</w:t>
      </w:r>
      <w:r w:rsidR="00191A72" w:rsidRPr="003A4C43">
        <w:t xml:space="preserve"> die Lebensdauer für erdverlegte Leitungen und Geothermiebohrungen mit 50 Jahren an</w:t>
      </w:r>
      <w:r w:rsidR="00191A72">
        <w:t>gesetzt werden</w:t>
      </w:r>
      <w:r w:rsidR="00191A72" w:rsidRPr="003A4C43">
        <w:t>.</w:t>
      </w:r>
      <w:r w:rsidR="00191A72">
        <w:t xml:space="preserve"> </w:t>
      </w:r>
      <w:r w:rsidR="00AB3878">
        <w:t>Fördermittel sowie laufende Kosten für den Betrieb (Energie, Wartung, Abgaben etc.) werden hier nicht berücksichtigt.</w:t>
      </w:r>
    </w:p>
  </w:footnote>
  <w:footnote w:id="2">
    <w:p w14:paraId="78F2186B" w14:textId="044DED53" w:rsidR="00083C6E" w:rsidRPr="003A4C43" w:rsidRDefault="00083C6E">
      <w:pPr>
        <w:pStyle w:val="Fuzeile"/>
        <w:rPr>
          <w:sz w:val="20"/>
          <w:szCs w:val="20"/>
        </w:rPr>
      </w:pPr>
      <w:r w:rsidRPr="0005523D">
        <w:rPr>
          <w:rStyle w:val="Funotenzeichen"/>
          <w:sz w:val="20"/>
          <w:szCs w:val="20"/>
        </w:rPr>
        <w:footnoteRef/>
      </w:r>
      <w:r w:rsidRPr="003A4C43">
        <w:rPr>
          <w:sz w:val="20"/>
          <w:szCs w:val="20"/>
        </w:rPr>
        <w:t xml:space="preserve">Klimabedingte Mehrkosten sind Kosten, die eine einfache </w:t>
      </w:r>
      <w:r w:rsidR="005661A4">
        <w:rPr>
          <w:sz w:val="20"/>
          <w:szCs w:val="20"/>
        </w:rPr>
        <w:t xml:space="preserve">Erneuerung / </w:t>
      </w:r>
      <w:r w:rsidRPr="003A4C43">
        <w:rPr>
          <w:sz w:val="20"/>
          <w:szCs w:val="20"/>
        </w:rPr>
        <w:t xml:space="preserve">Sanierung </w:t>
      </w:r>
      <w:r w:rsidR="005661A4">
        <w:rPr>
          <w:sz w:val="20"/>
          <w:szCs w:val="20"/>
        </w:rPr>
        <w:t xml:space="preserve">/ </w:t>
      </w:r>
      <w:r w:rsidRPr="003A4C43">
        <w:rPr>
          <w:sz w:val="20"/>
          <w:szCs w:val="20"/>
        </w:rPr>
        <w:t>Instandhaltung überschreiten.</w:t>
      </w:r>
    </w:p>
  </w:footnote>
  <w:footnote w:id="3">
    <w:p w14:paraId="0BB6893A" w14:textId="02871B9A" w:rsidR="00083C6E" w:rsidRPr="003A4C43" w:rsidRDefault="00083C6E">
      <w:pPr>
        <w:pStyle w:val="Funotentext"/>
      </w:pPr>
      <w:r w:rsidRPr="003A4C43">
        <w:rPr>
          <w:rStyle w:val="Funotenzeichen"/>
        </w:rPr>
        <w:footnoteRef/>
      </w:r>
      <w:r w:rsidRPr="003A4C43">
        <w:t xml:space="preserve"> Die Lebenszykluskosten ermitteln sich aus den Kosten für Investition, Betrieb, Wartung, Energie</w:t>
      </w:r>
      <w:r w:rsidR="000655D5">
        <w:t>-</w:t>
      </w:r>
      <w:r w:rsidRPr="003A4C43">
        <w:t>verbrauch (inklusive Steuern und Abgaben) und Rückbau. Förderungen können hier von den Investitionskosten abgezogen werden.</w:t>
      </w:r>
    </w:p>
  </w:footnote>
  <w:footnote w:id="4">
    <w:p w14:paraId="7A9FB216" w14:textId="2C5386D3" w:rsidR="00083C6E" w:rsidRPr="003A4C43" w:rsidRDefault="00083C6E">
      <w:pPr>
        <w:pStyle w:val="Funotentext1"/>
        <w:rPr>
          <w:sz w:val="20"/>
          <w:szCs w:val="20"/>
        </w:rPr>
      </w:pPr>
      <w:r w:rsidRPr="003A4C43">
        <w:rPr>
          <w:rStyle w:val="Funotenzeichen"/>
          <w:sz w:val="20"/>
          <w:szCs w:val="20"/>
        </w:rPr>
        <w:footnoteRef/>
      </w:r>
      <w:r w:rsidRPr="003A4C43">
        <w:rPr>
          <w:sz w:val="20"/>
          <w:szCs w:val="20"/>
        </w:rPr>
        <w:t xml:space="preserve"> Die Lebensdauer der Bauteile </w:t>
      </w:r>
      <w:r>
        <w:rPr>
          <w:sz w:val="20"/>
          <w:szCs w:val="20"/>
        </w:rPr>
        <w:t xml:space="preserve">kann </w:t>
      </w:r>
      <w:r w:rsidRPr="003A4C43">
        <w:rPr>
          <w:sz w:val="20"/>
          <w:szCs w:val="20"/>
        </w:rPr>
        <w:t>hierbei pauschal mit 20 Jahren für technische Bauteile (z.B. Heizungserneuerung) und 40 Jahren für bauliche Maßnahmen (energetische Gebäudesanierung) angesetzt</w:t>
      </w:r>
      <w:r>
        <w:rPr>
          <w:sz w:val="20"/>
          <w:szCs w:val="20"/>
        </w:rPr>
        <w:t xml:space="preserve"> werden</w:t>
      </w:r>
      <w:r w:rsidRPr="003A4C43">
        <w:rPr>
          <w:sz w:val="20"/>
          <w:szCs w:val="20"/>
        </w:rPr>
        <w:t xml:space="preserve">. Im Falle der Nutzung von Geothermie </w:t>
      </w:r>
      <w:r>
        <w:rPr>
          <w:sz w:val="20"/>
          <w:szCs w:val="20"/>
        </w:rPr>
        <w:t>kann</w:t>
      </w:r>
      <w:r w:rsidRPr="003A4C43">
        <w:rPr>
          <w:sz w:val="20"/>
          <w:szCs w:val="20"/>
        </w:rPr>
        <w:t xml:space="preserve"> die Lebensdauer für erdverlegte Leitungen und Geothermiebohrungen mit 50 Jahren an</w:t>
      </w:r>
      <w:r>
        <w:rPr>
          <w:sz w:val="20"/>
          <w:szCs w:val="20"/>
        </w:rPr>
        <w:t>gesetzt werden</w:t>
      </w:r>
      <w:r w:rsidRPr="003A4C43">
        <w:rPr>
          <w:sz w:val="20"/>
          <w:szCs w:val="20"/>
        </w:rPr>
        <w:t>.</w:t>
      </w:r>
    </w:p>
  </w:footnote>
  <w:footnote w:id="5">
    <w:p w14:paraId="2E0E14DC" w14:textId="2BC463A5" w:rsidR="00191A72" w:rsidRDefault="00191A72">
      <w:pPr>
        <w:pStyle w:val="Funotentext"/>
      </w:pPr>
      <w:r>
        <w:rPr>
          <w:rStyle w:val="Funotenzeichen"/>
        </w:rPr>
        <w:footnoteRef/>
      </w:r>
      <w:r>
        <w:t xml:space="preserve"> </w:t>
      </w:r>
      <w:r w:rsidRPr="00191A72">
        <w:t>Weitergehende staatliche und kirchliche Regelungen bleiben unberührt.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706B4" w14:textId="77777777" w:rsidR="008801AF" w:rsidRDefault="008801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64974"/>
      <w:docPartObj>
        <w:docPartGallery w:val="Watermarks"/>
        <w:docPartUnique/>
      </w:docPartObj>
    </w:sdtPr>
    <w:sdtEndPr/>
    <w:sdtContent>
      <w:p w14:paraId="3E4AA837" w14:textId="1B846915" w:rsidR="00083C6E" w:rsidRDefault="00431758">
        <w:pPr>
          <w:pStyle w:val="Kopfzeile"/>
        </w:pPr>
        <w:r>
          <w:pict w14:anchorId="093E9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BD507" w14:textId="77777777" w:rsidR="008801AF" w:rsidRDefault="008801A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2E8F"/>
    <w:multiLevelType w:val="multilevel"/>
    <w:tmpl w:val="ADF2942A"/>
    <w:lvl w:ilvl="0">
      <w:start w:val="4"/>
      <w:numFmt w:val="decimal"/>
      <w:lvlText w:val="%1."/>
      <w:lvlJc w:val="left"/>
      <w:pPr>
        <w:tabs>
          <w:tab w:val="num" w:pos="0"/>
        </w:tabs>
        <w:ind w:left="0" w:firstLine="0"/>
      </w:pPr>
      <w:rPr>
        <w:rFonts w:eastAsia="Arial" w:cs="Arial"/>
        <w:b/>
        <w:bCs/>
        <w:spacing w:val="-1"/>
        <w:w w:val="100"/>
        <w:sz w:val="22"/>
        <w:szCs w:val="22"/>
        <w:lang w:val="de-DE" w:eastAsia="en-US" w:bidi="ar-SA"/>
      </w:rPr>
    </w:lvl>
    <w:lvl w:ilvl="1">
      <w:start w:val="1"/>
      <w:numFmt w:val="decimal"/>
      <w:lvlText w:val="%1.%2"/>
      <w:lvlJc w:val="left"/>
      <w:pPr>
        <w:tabs>
          <w:tab w:val="num" w:pos="0"/>
        </w:tabs>
        <w:ind w:left="0" w:firstLine="0"/>
      </w:pPr>
      <w:rPr>
        <w:rFonts w:eastAsia="Arial" w:cs="Arial"/>
        <w:b/>
        <w:bCs/>
        <w:w w:val="100"/>
        <w:sz w:val="22"/>
        <w:szCs w:val="22"/>
        <w:lang w:val="de-DE" w:eastAsia="en-US" w:bidi="ar-SA"/>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
    <w:nsid w:val="08125205"/>
    <w:multiLevelType w:val="multilevel"/>
    <w:tmpl w:val="A7F04782"/>
    <w:lvl w:ilvl="0">
      <w:start w:val="1"/>
      <w:numFmt w:val="upperRoman"/>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nsid w:val="0C204E44"/>
    <w:multiLevelType w:val="multilevel"/>
    <w:tmpl w:val="76763152"/>
    <w:lvl w:ilvl="0">
      <w:numFmt w:val="bullet"/>
      <w:lvlText w:val="-"/>
      <w:lvlJc w:val="left"/>
      <w:pPr>
        <w:tabs>
          <w:tab w:val="num" w:pos="0"/>
        </w:tabs>
        <w:ind w:left="0" w:firstLine="0"/>
      </w:pPr>
      <w:rPr>
        <w:rFonts w:ascii="Arial" w:hAnsi="Arial" w:cs="Aria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3">
    <w:nsid w:val="13F730B1"/>
    <w:multiLevelType w:val="multilevel"/>
    <w:tmpl w:val="7DD8542E"/>
    <w:lvl w:ilvl="0">
      <w:start w:val="1"/>
      <w:numFmt w:val="decimal"/>
      <w:lvlText w:val="%1."/>
      <w:lvlJc w:val="left"/>
      <w:pPr>
        <w:tabs>
          <w:tab w:val="num" w:pos="0"/>
        </w:tabs>
        <w:ind w:left="0" w:firstLine="0"/>
      </w:pPr>
      <w:rPr>
        <w:rFonts w:eastAsia="Arial" w:cs="Arial"/>
        <w:b/>
        <w:bCs/>
        <w:spacing w:val="-1"/>
        <w:w w:val="100"/>
        <w:sz w:val="22"/>
        <w:szCs w:val="22"/>
        <w:lang w:val="de-DE" w:eastAsia="en-US" w:bidi="ar-SA"/>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4">
    <w:nsid w:val="1B623889"/>
    <w:multiLevelType w:val="hybridMultilevel"/>
    <w:tmpl w:val="3184E1D4"/>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3739F2"/>
    <w:multiLevelType w:val="multilevel"/>
    <w:tmpl w:val="5FDCED46"/>
    <w:lvl w:ilvl="0">
      <w:start w:val="4"/>
      <w:numFmt w:val="decimal"/>
      <w:lvlText w:val="%1."/>
      <w:lvlJc w:val="left"/>
      <w:pPr>
        <w:tabs>
          <w:tab w:val="num" w:pos="0"/>
        </w:tabs>
        <w:ind w:left="0" w:firstLine="0"/>
      </w:pPr>
      <w:rPr>
        <w:rFonts w:eastAsia="Arial" w:cs="Arial"/>
        <w:b/>
        <w:bCs/>
        <w:spacing w:val="-1"/>
        <w:w w:val="100"/>
        <w:sz w:val="22"/>
        <w:szCs w:val="22"/>
        <w:lang w:val="de-DE" w:eastAsia="en-US" w:bidi="ar-SA"/>
      </w:rPr>
    </w:lvl>
    <w:lvl w:ilvl="1">
      <w:start w:val="1"/>
      <w:numFmt w:val="decimal"/>
      <w:lvlText w:val="%1.%2"/>
      <w:lvlJc w:val="left"/>
      <w:pPr>
        <w:tabs>
          <w:tab w:val="num" w:pos="0"/>
        </w:tabs>
        <w:ind w:left="0" w:firstLine="0"/>
      </w:pPr>
      <w:rPr>
        <w:lang w:val="de-DE" w:eastAsia="en-US" w:bidi="ar-SA"/>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6">
    <w:nsid w:val="250204FB"/>
    <w:multiLevelType w:val="multilevel"/>
    <w:tmpl w:val="5F3A9808"/>
    <w:lvl w:ilvl="0">
      <w:start w:val="4"/>
      <w:numFmt w:val="decimal"/>
      <w:lvlText w:val="%1."/>
      <w:lvlJc w:val="left"/>
      <w:pPr>
        <w:tabs>
          <w:tab w:val="num" w:pos="0"/>
        </w:tabs>
        <w:ind w:left="0" w:firstLine="0"/>
      </w:pPr>
      <w:rPr>
        <w:rFonts w:eastAsia="Arial" w:cs="Arial"/>
        <w:b/>
        <w:bCs/>
        <w:spacing w:val="-1"/>
        <w:w w:val="100"/>
        <w:sz w:val="22"/>
        <w:szCs w:val="22"/>
        <w:lang w:val="de-DE" w:eastAsia="en-US" w:bidi="ar-SA"/>
      </w:rPr>
    </w:lvl>
    <w:lvl w:ilvl="1">
      <w:start w:val="1"/>
      <w:numFmt w:val="decimal"/>
      <w:lvlText w:val="%1.%2"/>
      <w:lvlJc w:val="left"/>
      <w:pPr>
        <w:tabs>
          <w:tab w:val="num" w:pos="0"/>
        </w:tabs>
        <w:ind w:left="0" w:firstLine="0"/>
      </w:pPr>
      <w:rPr>
        <w:rFonts w:eastAsia="Arial" w:cs="Arial"/>
        <w:b/>
        <w:bCs/>
        <w:w w:val="100"/>
        <w:sz w:val="22"/>
        <w:szCs w:val="22"/>
        <w:lang w:val="de-DE" w:eastAsia="en-US" w:bidi="ar-SA"/>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7">
    <w:nsid w:val="2A61074D"/>
    <w:multiLevelType w:val="multilevel"/>
    <w:tmpl w:val="1BB43EC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nsid w:val="37D40587"/>
    <w:multiLevelType w:val="multilevel"/>
    <w:tmpl w:val="7758D078"/>
    <w:lvl w:ilvl="0">
      <w:start w:val="1"/>
      <w:numFmt w:val="decimal"/>
      <w:lvlText w:val="%1."/>
      <w:lvlJc w:val="left"/>
      <w:pPr>
        <w:tabs>
          <w:tab w:val="num" w:pos="0"/>
        </w:tabs>
        <w:ind w:left="0" w:firstLine="0"/>
      </w:pPr>
      <w:rPr>
        <w:rFonts w:eastAsia="Arial" w:cs="Arial"/>
        <w:b/>
        <w:bCs/>
        <w:spacing w:val="-1"/>
        <w:w w:val="100"/>
        <w:sz w:val="22"/>
        <w:szCs w:val="22"/>
        <w:lang w:val="de-DE" w:eastAsia="en-US" w:bidi="ar-SA"/>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9">
    <w:nsid w:val="3BB3112C"/>
    <w:multiLevelType w:val="multilevel"/>
    <w:tmpl w:val="04E2BD3C"/>
    <w:lvl w:ilvl="0">
      <w:start w:val="1"/>
      <w:numFmt w:val="decimal"/>
      <w:lvlText w:val="%1."/>
      <w:lvlJc w:val="left"/>
      <w:pPr>
        <w:tabs>
          <w:tab w:val="num" w:pos="0"/>
        </w:tabs>
        <w:ind w:left="0" w:firstLine="0"/>
      </w:pPr>
      <w:rPr>
        <w:color w:val="auto"/>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0">
    <w:nsid w:val="418D7E1B"/>
    <w:multiLevelType w:val="multilevel"/>
    <w:tmpl w:val="5590E82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nsid w:val="42DC405F"/>
    <w:multiLevelType w:val="multilevel"/>
    <w:tmpl w:val="9C82D0D8"/>
    <w:lvl w:ilvl="0">
      <w:start w:val="1"/>
      <w:numFmt w:val="decimal"/>
      <w:lvlText w:val="%1."/>
      <w:lvlJc w:val="left"/>
      <w:pPr>
        <w:tabs>
          <w:tab w:val="num" w:pos="0"/>
        </w:tabs>
        <w:ind w:left="0" w:firstLine="0"/>
      </w:pPr>
      <w:rPr>
        <w:rFonts w:eastAsia="Arial" w:cs="Arial"/>
        <w:spacing w:val="-1"/>
        <w:w w:val="100"/>
        <w:sz w:val="22"/>
        <w:szCs w:val="22"/>
        <w:lang w:val="de-DE" w:eastAsia="en-US" w:bidi="ar-SA"/>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2">
    <w:nsid w:val="45AA56B0"/>
    <w:multiLevelType w:val="multilevel"/>
    <w:tmpl w:val="EF54326A"/>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
    <w:nsid w:val="49B741C9"/>
    <w:multiLevelType w:val="multilevel"/>
    <w:tmpl w:val="0FD48E6C"/>
    <w:lvl w:ilvl="0">
      <w:start w:val="1"/>
      <w:numFmt w:val="upperRoman"/>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4">
    <w:nsid w:val="4ED339AA"/>
    <w:multiLevelType w:val="multilevel"/>
    <w:tmpl w:val="B86EF4E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nsid w:val="5445258E"/>
    <w:multiLevelType w:val="multilevel"/>
    <w:tmpl w:val="F8A0B534"/>
    <w:lvl w:ilvl="0">
      <w:start w:val="1"/>
      <w:numFmt w:val="decimal"/>
      <w:lvlText w:val="%1."/>
      <w:lvlJc w:val="left"/>
      <w:pPr>
        <w:tabs>
          <w:tab w:val="num" w:pos="0"/>
        </w:tabs>
        <w:ind w:left="0" w:firstLine="0"/>
      </w:pPr>
      <w:rPr>
        <w:rFonts w:eastAsia="Arial" w:cs="Arial"/>
        <w:spacing w:val="-1"/>
        <w:w w:val="100"/>
        <w:sz w:val="22"/>
        <w:szCs w:val="22"/>
        <w:lang w:val="de-DE" w:eastAsia="en-US" w:bidi="ar-SA"/>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6">
    <w:nsid w:val="583A6437"/>
    <w:multiLevelType w:val="multilevel"/>
    <w:tmpl w:val="AB2C4DC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7">
    <w:nsid w:val="59EA24AC"/>
    <w:multiLevelType w:val="hybridMultilevel"/>
    <w:tmpl w:val="A014B3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8606F3B"/>
    <w:multiLevelType w:val="multilevel"/>
    <w:tmpl w:val="18DC1F4A"/>
    <w:lvl w:ilvl="0">
      <w:start w:val="1"/>
      <w:numFmt w:val="upperRoman"/>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
    <w:nsid w:val="6C217072"/>
    <w:multiLevelType w:val="multilevel"/>
    <w:tmpl w:val="322ABC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3F70A90"/>
    <w:multiLevelType w:val="multilevel"/>
    <w:tmpl w:val="E54C2C10"/>
    <w:lvl w:ilvl="0">
      <w:numFmt w:val="bullet"/>
      <w:lvlText w:val="-"/>
      <w:lvlJc w:val="left"/>
      <w:pPr>
        <w:tabs>
          <w:tab w:val="num" w:pos="0"/>
        </w:tabs>
        <w:ind w:left="0" w:firstLine="0"/>
      </w:pPr>
      <w:rPr>
        <w:rFonts w:ascii="Arial" w:hAnsi="Arial" w:cs="Aria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num w:numId="1">
    <w:abstractNumId w:val="0"/>
  </w:num>
  <w:num w:numId="2">
    <w:abstractNumId w:val="11"/>
  </w:num>
  <w:num w:numId="3">
    <w:abstractNumId w:val="8"/>
  </w:num>
  <w:num w:numId="4">
    <w:abstractNumId w:val="2"/>
  </w:num>
  <w:num w:numId="5">
    <w:abstractNumId w:val="12"/>
  </w:num>
  <w:num w:numId="6">
    <w:abstractNumId w:val="10"/>
  </w:num>
  <w:num w:numId="7">
    <w:abstractNumId w:val="9"/>
  </w:num>
  <w:num w:numId="8">
    <w:abstractNumId w:val="3"/>
  </w:num>
  <w:num w:numId="9">
    <w:abstractNumId w:val="20"/>
  </w:num>
  <w:num w:numId="10">
    <w:abstractNumId w:val="15"/>
  </w:num>
  <w:num w:numId="11">
    <w:abstractNumId w:val="5"/>
  </w:num>
  <w:num w:numId="12">
    <w:abstractNumId w:val="18"/>
  </w:num>
  <w:num w:numId="13">
    <w:abstractNumId w:val="16"/>
  </w:num>
  <w:num w:numId="14">
    <w:abstractNumId w:val="1"/>
  </w:num>
  <w:num w:numId="15">
    <w:abstractNumId w:val="14"/>
  </w:num>
  <w:num w:numId="16">
    <w:abstractNumId w:val="13"/>
  </w:num>
  <w:num w:numId="17">
    <w:abstractNumId w:val="7"/>
  </w:num>
  <w:num w:numId="18">
    <w:abstractNumId w:val="6"/>
  </w:num>
  <w:num w:numId="19">
    <w:abstractNumId w:val="19"/>
  </w:num>
  <w:num w:numId="20">
    <w:abstractNumId w:val="3"/>
    <w:lvlOverride w:ilvl="0">
      <w:startOverride w:val="1"/>
    </w:lvlOverride>
  </w:num>
  <w:num w:numId="21">
    <w:abstractNumId w:val="3"/>
  </w:num>
  <w:num w:numId="22">
    <w:abstractNumId w:val="3"/>
  </w:num>
  <w:num w:numId="23">
    <w:abstractNumId w:val="3"/>
  </w:num>
  <w:num w:numId="24">
    <w:abstractNumId w:val="3"/>
  </w:num>
  <w:num w:numId="25">
    <w:abstractNumId w:val="3"/>
  </w:num>
  <w:num w:numId="26">
    <w:abstractNumId w:val="20"/>
  </w:num>
  <w:num w:numId="27">
    <w:abstractNumId w:val="15"/>
    <w:lvlOverride w:ilvl="0">
      <w:startOverride w:val="1"/>
    </w:lvlOverride>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5"/>
    <w:lvlOverride w:ilvl="0">
      <w:startOverride w:val="4"/>
    </w:lvlOverride>
  </w:num>
  <w:num w:numId="38">
    <w:abstractNumId w:val="5"/>
  </w:num>
  <w:num w:numId="39">
    <w:abstractNumId w:val="5"/>
  </w:num>
  <w:num w:numId="40">
    <w:abstractNumId w:val="18"/>
    <w:lvlOverride w:ilvl="0">
      <w:startOverride w:val="1"/>
    </w:lvlOverride>
  </w:num>
  <w:num w:numId="41">
    <w:abstractNumId w:val="16"/>
    <w:lvlOverride w:ilvl="0">
      <w:startOverride w:val="1"/>
    </w:lvlOverride>
  </w:num>
  <w:num w:numId="42">
    <w:abstractNumId w:val="16"/>
  </w:num>
  <w:num w:numId="43">
    <w:abstractNumId w:val="16"/>
  </w:num>
  <w:num w:numId="44">
    <w:abstractNumId w:val="16"/>
  </w:num>
  <w:num w:numId="45">
    <w:abstractNumId w:val="16"/>
  </w:num>
  <w:num w:numId="46">
    <w:abstractNumId w:val="18"/>
    <w:lvlOverride w:ilvl="0">
      <w:startOverride w:val="1"/>
    </w:lvlOverride>
  </w:num>
  <w:num w:numId="47">
    <w:abstractNumId w:val="14"/>
    <w:lvlOverride w:ilvl="0">
      <w:startOverride w:val="1"/>
    </w:lvlOverride>
  </w:num>
  <w:num w:numId="48">
    <w:abstractNumId w:val="14"/>
  </w:num>
  <w:num w:numId="49">
    <w:abstractNumId w:val="14"/>
  </w:num>
  <w:num w:numId="50">
    <w:abstractNumId w:val="18"/>
    <w:lvlOverride w:ilvl="0">
      <w:startOverride w:val="1"/>
    </w:lvlOverride>
  </w:num>
  <w:num w:numId="51">
    <w:abstractNumId w:val="7"/>
    <w:lvlOverride w:ilvl="0">
      <w:startOverride w:val="1"/>
    </w:lvlOverride>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5"/>
    <w:lvlOverride w:ilvl="0">
      <w:startOverride w:val="4"/>
    </w:lvlOverride>
  </w:num>
  <w:num w:numId="63">
    <w:abstractNumId w:val="5"/>
  </w:num>
  <w:num w:numId="64">
    <w:abstractNumId w:val="4"/>
  </w:num>
  <w:num w:numId="65">
    <w:abstractNumId w:val="17"/>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tz, Hartmut">
    <w15:presenceInfo w15:providerId="AD" w15:userId="S-1-5-21-3996149094-3542512591-977247600-1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F9"/>
    <w:rsid w:val="000100AF"/>
    <w:rsid w:val="00017BD3"/>
    <w:rsid w:val="0005523D"/>
    <w:rsid w:val="000655D5"/>
    <w:rsid w:val="00083C6E"/>
    <w:rsid w:val="00085259"/>
    <w:rsid w:val="000D6649"/>
    <w:rsid w:val="00134130"/>
    <w:rsid w:val="00191A72"/>
    <w:rsid w:val="001A43B5"/>
    <w:rsid w:val="001A5551"/>
    <w:rsid w:val="001C52CF"/>
    <w:rsid w:val="001F201C"/>
    <w:rsid w:val="00237E06"/>
    <w:rsid w:val="00286490"/>
    <w:rsid w:val="00290B60"/>
    <w:rsid w:val="002B3BF9"/>
    <w:rsid w:val="002E03E2"/>
    <w:rsid w:val="002E0626"/>
    <w:rsid w:val="0031549F"/>
    <w:rsid w:val="00331A40"/>
    <w:rsid w:val="00365B94"/>
    <w:rsid w:val="00383B8F"/>
    <w:rsid w:val="003A2B5D"/>
    <w:rsid w:val="003A4C43"/>
    <w:rsid w:val="003F522C"/>
    <w:rsid w:val="0041554B"/>
    <w:rsid w:val="00415D30"/>
    <w:rsid w:val="00431758"/>
    <w:rsid w:val="004955A9"/>
    <w:rsid w:val="004B2A78"/>
    <w:rsid w:val="004C6440"/>
    <w:rsid w:val="00526BBB"/>
    <w:rsid w:val="0053176A"/>
    <w:rsid w:val="00544F24"/>
    <w:rsid w:val="00560051"/>
    <w:rsid w:val="005661A4"/>
    <w:rsid w:val="005D5A9F"/>
    <w:rsid w:val="0061244A"/>
    <w:rsid w:val="00635FC7"/>
    <w:rsid w:val="00682CCF"/>
    <w:rsid w:val="006B4299"/>
    <w:rsid w:val="006C5CA5"/>
    <w:rsid w:val="006D63D0"/>
    <w:rsid w:val="006F33D4"/>
    <w:rsid w:val="00761B17"/>
    <w:rsid w:val="007E22FB"/>
    <w:rsid w:val="008077B9"/>
    <w:rsid w:val="00840786"/>
    <w:rsid w:val="008560B8"/>
    <w:rsid w:val="008801AF"/>
    <w:rsid w:val="008C5A89"/>
    <w:rsid w:val="00906932"/>
    <w:rsid w:val="00951628"/>
    <w:rsid w:val="00952417"/>
    <w:rsid w:val="00963B42"/>
    <w:rsid w:val="00A14716"/>
    <w:rsid w:val="00A41FBD"/>
    <w:rsid w:val="00A731B9"/>
    <w:rsid w:val="00A94A7D"/>
    <w:rsid w:val="00A95EE7"/>
    <w:rsid w:val="00AA7A43"/>
    <w:rsid w:val="00AB3878"/>
    <w:rsid w:val="00AB73E3"/>
    <w:rsid w:val="00AC77DE"/>
    <w:rsid w:val="00AD13DB"/>
    <w:rsid w:val="00B04F61"/>
    <w:rsid w:val="00B616DE"/>
    <w:rsid w:val="00B63E58"/>
    <w:rsid w:val="00B84A83"/>
    <w:rsid w:val="00BB41C1"/>
    <w:rsid w:val="00BC256A"/>
    <w:rsid w:val="00BD4D23"/>
    <w:rsid w:val="00C0161F"/>
    <w:rsid w:val="00C51996"/>
    <w:rsid w:val="00C51BBD"/>
    <w:rsid w:val="00C83D58"/>
    <w:rsid w:val="00D5014F"/>
    <w:rsid w:val="00D777A0"/>
    <w:rsid w:val="00D803B7"/>
    <w:rsid w:val="00D8430A"/>
    <w:rsid w:val="00DB5582"/>
    <w:rsid w:val="00E37F44"/>
    <w:rsid w:val="00E64583"/>
    <w:rsid w:val="00E75089"/>
    <w:rsid w:val="00E935F0"/>
    <w:rsid w:val="00EF503F"/>
    <w:rsid w:val="00F11C22"/>
    <w:rsid w:val="00F147F2"/>
    <w:rsid w:val="00F535B5"/>
    <w:rsid w:val="00F60213"/>
    <w:rsid w:val="00F97DBC"/>
    <w:rsid w:val="00FA7C7D"/>
    <w:rsid w:val="00FB2B31"/>
    <w:rsid w:val="00FC4DCC"/>
    <w:rsid w:val="00FF510A"/>
    <w:rsid w:val="00FF5B0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98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kern w:val="2"/>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extAlignment w:val="baseline"/>
    </w:pPr>
    <w:rPr>
      <w:rFonts w:ascii="Arial" w:eastAsia="Arial" w:hAnsi="Arial" w:cs="Arial"/>
      <w:lang w:val="de-DE"/>
    </w:rPr>
  </w:style>
  <w:style w:type="paragraph" w:styleId="berschrift1">
    <w:name w:val="heading 1"/>
    <w:basedOn w:val="Standard"/>
    <w:qFormat/>
    <w:pPr>
      <w:ind w:left="824" w:hanging="709"/>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qFormat/>
    <w:rPr>
      <w:rFonts w:ascii="Arial" w:eastAsia="Arial" w:hAnsi="Arial" w:cs="Arial"/>
      <w:sz w:val="20"/>
      <w:szCs w:val="20"/>
      <w:lang w:val="de-D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KopfzeileZchn">
    <w:name w:val="Kopfzeile Zchn"/>
    <w:basedOn w:val="Absatz-Standardschriftart"/>
    <w:qFormat/>
    <w:rPr>
      <w:rFonts w:ascii="Arial" w:eastAsia="Arial" w:hAnsi="Arial" w:cs="Arial"/>
      <w:lang w:val="de-DE"/>
    </w:rPr>
  </w:style>
  <w:style w:type="character" w:customStyle="1" w:styleId="FuzeileZchn">
    <w:name w:val="Fußzeile Zchn"/>
    <w:basedOn w:val="Absatz-Standardschriftart"/>
    <w:qFormat/>
    <w:rPr>
      <w:rFonts w:ascii="Arial" w:eastAsia="Arial" w:hAnsi="Arial" w:cs="Arial"/>
      <w:lang w:val="de-D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rFonts w:ascii="Arial" w:eastAsia="Arial" w:hAnsi="Arial" w:cs="Arial"/>
      <w:sz w:val="20"/>
      <w:szCs w:val="20"/>
      <w:lang w:val="de-DE"/>
    </w:rPr>
  </w:style>
  <w:style w:type="character" w:customStyle="1" w:styleId="KommentarthemaZchn">
    <w:name w:val="Kommentarthema Zchn"/>
    <w:basedOn w:val="KommentartextZchn"/>
    <w:qFormat/>
    <w:rPr>
      <w:rFonts w:ascii="Arial" w:eastAsia="Arial" w:hAnsi="Arial" w:cs="Arial"/>
      <w:b/>
      <w:bCs/>
      <w:sz w:val="20"/>
      <w:szCs w:val="20"/>
      <w:lang w:val="de-DE"/>
    </w:rPr>
  </w:style>
  <w:style w:type="character" w:customStyle="1" w:styleId="SprechblasentextZchn">
    <w:name w:val="Sprechblasentext Zchn"/>
    <w:basedOn w:val="Absatz-Standardschriftart"/>
    <w:qFormat/>
    <w:rPr>
      <w:rFonts w:ascii="Tahoma" w:eastAsia="Arial" w:hAnsi="Tahoma" w:cs="Tahoma"/>
      <w:sz w:val="16"/>
      <w:szCs w:val="16"/>
      <w:lang w:val="de-D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body"/>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body"/>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Textbody">
    <w:name w:val="Text body"/>
    <w:basedOn w:val="Standard"/>
    <w:qFormat/>
  </w:style>
  <w:style w:type="paragraph" w:styleId="Listenabsatz">
    <w:name w:val="List Paragraph"/>
    <w:basedOn w:val="Standard"/>
    <w:qFormat/>
    <w:pPr>
      <w:ind w:left="836" w:hanging="709"/>
    </w:pPr>
  </w:style>
  <w:style w:type="paragraph" w:customStyle="1" w:styleId="TableParagraph">
    <w:name w:val="Table Paragraph"/>
    <w:basedOn w:val="Standard"/>
    <w:qFormat/>
  </w:style>
  <w:style w:type="paragraph" w:customStyle="1" w:styleId="Funotentext1">
    <w:name w:val="Fußnotentext1"/>
    <w:basedOn w:val="Standard"/>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Kommentartext">
    <w:name w:val="annotation text"/>
    <w:basedOn w:val="Standard"/>
    <w:qFormat/>
    <w:rPr>
      <w:sz w:val="20"/>
      <w:szCs w:val="20"/>
    </w:rPr>
  </w:style>
  <w:style w:type="paragraph" w:styleId="Kommentarthema">
    <w:name w:val="annotation subject"/>
    <w:basedOn w:val="Kommentartext"/>
    <w:qFormat/>
    <w:rPr>
      <w:b/>
      <w:bCs/>
    </w:rPr>
  </w:style>
  <w:style w:type="paragraph" w:styleId="Sprechblasentext">
    <w:name w:val="Balloon Text"/>
    <w:basedOn w:val="Standard"/>
    <w:qFormat/>
    <w:rPr>
      <w:rFonts w:ascii="Tahoma" w:hAnsi="Tahoma" w:cs="Tahoma"/>
      <w:sz w:val="16"/>
      <w:szCs w:val="16"/>
    </w:rPr>
  </w:style>
  <w:style w:type="paragraph" w:customStyle="1" w:styleId="Default">
    <w:name w:val="Default"/>
    <w:qFormat/>
    <w:pPr>
      <w:textAlignment w:val="baseline"/>
    </w:pPr>
    <w:rPr>
      <w:rFonts w:ascii="Arial" w:hAnsi="Arial" w:cs="Arial"/>
      <w:color w:val="000000"/>
      <w:sz w:val="24"/>
      <w:szCs w:val="24"/>
      <w:lang w:val="de-DE"/>
    </w:rPr>
  </w:style>
  <w:style w:type="numbering" w:customStyle="1" w:styleId="KeineListe1">
    <w:name w:val="Keine Liste1"/>
    <w:qFormat/>
  </w:style>
  <w:style w:type="paragraph" w:styleId="Funotentext">
    <w:name w:val="footnote text"/>
    <w:basedOn w:val="Standard"/>
    <w:link w:val="FunotentextZchn1"/>
    <w:uiPriority w:val="99"/>
    <w:semiHidden/>
    <w:unhideWhenUsed/>
    <w:rsid w:val="001F201C"/>
    <w:rPr>
      <w:sz w:val="20"/>
      <w:szCs w:val="20"/>
    </w:rPr>
  </w:style>
  <w:style w:type="character" w:customStyle="1" w:styleId="FunotentextZchn1">
    <w:name w:val="Fußnotentext Zchn1"/>
    <w:basedOn w:val="Absatz-Standardschriftart"/>
    <w:link w:val="Funotentext"/>
    <w:uiPriority w:val="99"/>
    <w:semiHidden/>
    <w:rsid w:val="001F201C"/>
    <w:rPr>
      <w:rFonts w:ascii="Arial" w:eastAsia="Arial" w:hAnsi="Arial" w:cs="Arial"/>
      <w:sz w:val="20"/>
      <w:szCs w:val="20"/>
      <w:lang w:val="de-DE"/>
    </w:rPr>
  </w:style>
  <w:style w:type="character" w:styleId="Funotenzeichen">
    <w:name w:val="footnote reference"/>
    <w:basedOn w:val="Absatz-Standardschriftart"/>
    <w:uiPriority w:val="99"/>
    <w:unhideWhenUsed/>
    <w:rsid w:val="001F201C"/>
    <w:rPr>
      <w:vertAlign w:val="superscript"/>
    </w:rPr>
  </w:style>
  <w:style w:type="character" w:styleId="Hyperlink">
    <w:name w:val="Hyperlink"/>
    <w:basedOn w:val="Absatz-Standardschriftart"/>
    <w:uiPriority w:val="99"/>
    <w:unhideWhenUsed/>
    <w:rsid w:val="00365B94"/>
    <w:rPr>
      <w:color w:val="0000FF" w:themeColor="hyperlink"/>
      <w:u w:val="single"/>
    </w:rPr>
  </w:style>
  <w:style w:type="paragraph" w:styleId="berarbeitung">
    <w:name w:val="Revision"/>
    <w:hidden/>
    <w:uiPriority w:val="99"/>
    <w:semiHidden/>
    <w:rsid w:val="00B04F61"/>
    <w:pPr>
      <w:suppressAutoHyphens w:val="0"/>
    </w:pPr>
    <w:rPr>
      <w:rFonts w:ascii="Arial" w:eastAsia="Arial" w:hAnsi="Arial" w:cs="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kern w:val="2"/>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extAlignment w:val="baseline"/>
    </w:pPr>
    <w:rPr>
      <w:rFonts w:ascii="Arial" w:eastAsia="Arial" w:hAnsi="Arial" w:cs="Arial"/>
      <w:lang w:val="de-DE"/>
    </w:rPr>
  </w:style>
  <w:style w:type="paragraph" w:styleId="berschrift1">
    <w:name w:val="heading 1"/>
    <w:basedOn w:val="Standard"/>
    <w:qFormat/>
    <w:pPr>
      <w:ind w:left="824" w:hanging="709"/>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qFormat/>
    <w:rPr>
      <w:rFonts w:ascii="Arial" w:eastAsia="Arial" w:hAnsi="Arial" w:cs="Arial"/>
      <w:sz w:val="20"/>
      <w:szCs w:val="20"/>
      <w:lang w:val="de-D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KopfzeileZchn">
    <w:name w:val="Kopfzeile Zchn"/>
    <w:basedOn w:val="Absatz-Standardschriftart"/>
    <w:qFormat/>
    <w:rPr>
      <w:rFonts w:ascii="Arial" w:eastAsia="Arial" w:hAnsi="Arial" w:cs="Arial"/>
      <w:lang w:val="de-DE"/>
    </w:rPr>
  </w:style>
  <w:style w:type="character" w:customStyle="1" w:styleId="FuzeileZchn">
    <w:name w:val="Fußzeile Zchn"/>
    <w:basedOn w:val="Absatz-Standardschriftart"/>
    <w:qFormat/>
    <w:rPr>
      <w:rFonts w:ascii="Arial" w:eastAsia="Arial" w:hAnsi="Arial" w:cs="Arial"/>
      <w:lang w:val="de-D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rFonts w:ascii="Arial" w:eastAsia="Arial" w:hAnsi="Arial" w:cs="Arial"/>
      <w:sz w:val="20"/>
      <w:szCs w:val="20"/>
      <w:lang w:val="de-DE"/>
    </w:rPr>
  </w:style>
  <w:style w:type="character" w:customStyle="1" w:styleId="KommentarthemaZchn">
    <w:name w:val="Kommentarthema Zchn"/>
    <w:basedOn w:val="KommentartextZchn"/>
    <w:qFormat/>
    <w:rPr>
      <w:rFonts w:ascii="Arial" w:eastAsia="Arial" w:hAnsi="Arial" w:cs="Arial"/>
      <w:b/>
      <w:bCs/>
      <w:sz w:val="20"/>
      <w:szCs w:val="20"/>
      <w:lang w:val="de-DE"/>
    </w:rPr>
  </w:style>
  <w:style w:type="character" w:customStyle="1" w:styleId="SprechblasentextZchn">
    <w:name w:val="Sprechblasentext Zchn"/>
    <w:basedOn w:val="Absatz-Standardschriftart"/>
    <w:qFormat/>
    <w:rPr>
      <w:rFonts w:ascii="Tahoma" w:eastAsia="Arial" w:hAnsi="Tahoma" w:cs="Tahoma"/>
      <w:sz w:val="16"/>
      <w:szCs w:val="16"/>
      <w:lang w:val="de-D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body"/>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body"/>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Textbody">
    <w:name w:val="Text body"/>
    <w:basedOn w:val="Standard"/>
    <w:qFormat/>
  </w:style>
  <w:style w:type="paragraph" w:styleId="Listenabsatz">
    <w:name w:val="List Paragraph"/>
    <w:basedOn w:val="Standard"/>
    <w:qFormat/>
    <w:pPr>
      <w:ind w:left="836" w:hanging="709"/>
    </w:pPr>
  </w:style>
  <w:style w:type="paragraph" w:customStyle="1" w:styleId="TableParagraph">
    <w:name w:val="Table Paragraph"/>
    <w:basedOn w:val="Standard"/>
    <w:qFormat/>
  </w:style>
  <w:style w:type="paragraph" w:customStyle="1" w:styleId="Funotentext1">
    <w:name w:val="Fußnotentext1"/>
    <w:basedOn w:val="Standard"/>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Kommentartext">
    <w:name w:val="annotation text"/>
    <w:basedOn w:val="Standard"/>
    <w:qFormat/>
    <w:rPr>
      <w:sz w:val="20"/>
      <w:szCs w:val="20"/>
    </w:rPr>
  </w:style>
  <w:style w:type="paragraph" w:styleId="Kommentarthema">
    <w:name w:val="annotation subject"/>
    <w:basedOn w:val="Kommentartext"/>
    <w:qFormat/>
    <w:rPr>
      <w:b/>
      <w:bCs/>
    </w:rPr>
  </w:style>
  <w:style w:type="paragraph" w:styleId="Sprechblasentext">
    <w:name w:val="Balloon Text"/>
    <w:basedOn w:val="Standard"/>
    <w:qFormat/>
    <w:rPr>
      <w:rFonts w:ascii="Tahoma" w:hAnsi="Tahoma" w:cs="Tahoma"/>
      <w:sz w:val="16"/>
      <w:szCs w:val="16"/>
    </w:rPr>
  </w:style>
  <w:style w:type="paragraph" w:customStyle="1" w:styleId="Default">
    <w:name w:val="Default"/>
    <w:qFormat/>
    <w:pPr>
      <w:textAlignment w:val="baseline"/>
    </w:pPr>
    <w:rPr>
      <w:rFonts w:ascii="Arial" w:hAnsi="Arial" w:cs="Arial"/>
      <w:color w:val="000000"/>
      <w:sz w:val="24"/>
      <w:szCs w:val="24"/>
      <w:lang w:val="de-DE"/>
    </w:rPr>
  </w:style>
  <w:style w:type="numbering" w:customStyle="1" w:styleId="KeineListe1">
    <w:name w:val="Keine Liste1"/>
    <w:qFormat/>
  </w:style>
  <w:style w:type="paragraph" w:styleId="Funotentext">
    <w:name w:val="footnote text"/>
    <w:basedOn w:val="Standard"/>
    <w:link w:val="FunotentextZchn1"/>
    <w:uiPriority w:val="99"/>
    <w:semiHidden/>
    <w:unhideWhenUsed/>
    <w:rsid w:val="001F201C"/>
    <w:rPr>
      <w:sz w:val="20"/>
      <w:szCs w:val="20"/>
    </w:rPr>
  </w:style>
  <w:style w:type="character" w:customStyle="1" w:styleId="FunotentextZchn1">
    <w:name w:val="Fußnotentext Zchn1"/>
    <w:basedOn w:val="Absatz-Standardschriftart"/>
    <w:link w:val="Funotentext"/>
    <w:uiPriority w:val="99"/>
    <w:semiHidden/>
    <w:rsid w:val="001F201C"/>
    <w:rPr>
      <w:rFonts w:ascii="Arial" w:eastAsia="Arial" w:hAnsi="Arial" w:cs="Arial"/>
      <w:sz w:val="20"/>
      <w:szCs w:val="20"/>
      <w:lang w:val="de-DE"/>
    </w:rPr>
  </w:style>
  <w:style w:type="character" w:styleId="Funotenzeichen">
    <w:name w:val="footnote reference"/>
    <w:basedOn w:val="Absatz-Standardschriftart"/>
    <w:uiPriority w:val="99"/>
    <w:unhideWhenUsed/>
    <w:rsid w:val="001F201C"/>
    <w:rPr>
      <w:vertAlign w:val="superscript"/>
    </w:rPr>
  </w:style>
  <w:style w:type="character" w:styleId="Hyperlink">
    <w:name w:val="Hyperlink"/>
    <w:basedOn w:val="Absatz-Standardschriftart"/>
    <w:uiPriority w:val="99"/>
    <w:unhideWhenUsed/>
    <w:rsid w:val="00365B94"/>
    <w:rPr>
      <w:color w:val="0000FF" w:themeColor="hyperlink"/>
      <w:u w:val="single"/>
    </w:rPr>
  </w:style>
  <w:style w:type="paragraph" w:styleId="berarbeitung">
    <w:name w:val="Revision"/>
    <w:hidden/>
    <w:uiPriority w:val="99"/>
    <w:semiHidden/>
    <w:rsid w:val="00B04F61"/>
    <w:pPr>
      <w:suppressAutoHyphens w:val="0"/>
    </w:pPr>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irchenrecht-ekbo.de/document/47172"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kirchenrecht-ekbo.de/document/79"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9486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Landeskirchliche Baubeihilfen sind für viele Bauvorhaben der Kirchengemeinden und Kirchenkreise unerlässliche Bestandteile der Finanzierung, wenn außerkirchliche Fördermitteln eingeworben werden können</vt:lpstr>
    </vt:vector>
  </TitlesOfParts>
  <Company>EKBO</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Landeskirchliche Baubeihilfen sind für viele Bauvorhaben der Kirchengemeinden und Kirchenkreise unerlässliche Bestandteile der Finanzierung, wenn außerkirchliche Fördermitteln eingeworben werden können</dc:title>
  <dc:creator>J.Budde@ekbo.de</dc:creator>
  <cp:lastModifiedBy>Budde, Jörn</cp:lastModifiedBy>
  <cp:revision>4</cp:revision>
  <dcterms:created xsi:type="dcterms:W3CDTF">2022-06-24T13:03:00Z</dcterms:created>
  <dcterms:modified xsi:type="dcterms:W3CDTF">2022-06-24T13:13:00Z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EKBO</vt:lpwstr>
  </property>
  <property fmtid="{D5CDD505-2E9C-101B-9397-08002B2CF9AE}" pid="4" name="Created">
    <vt:filetime>2018-01-22T00:00:00Z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2020-11-09T00:00:00Z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